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9A" w:rsidRPr="00AB1CDF" w:rsidRDefault="0059739A" w:rsidP="0059739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Приложение № 4.1</w:t>
      </w:r>
    </w:p>
    <w:p w:rsidR="0059739A" w:rsidRDefault="0059739A" w:rsidP="0059739A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 xml:space="preserve">Охрана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Железногорск»</w:t>
      </w:r>
    </w:p>
    <w:p w:rsidR="00AE37C0" w:rsidRDefault="0057590B" w:rsidP="0057590B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 xml:space="preserve">. 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536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5368D9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37C0" w:rsidRPr="00BD63C7" w:rsidRDefault="005368D9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1CDF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F1B2C" w:rsidRDefault="009D143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</w:p>
          <w:p w:rsidR="00AE37C0" w:rsidRPr="00C9531C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B1CDF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AE37C0" w:rsidRDefault="00C9531C" w:rsidP="006137EB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</w:t>
            </w:r>
            <w:proofErr w:type="gramStart"/>
            <w:r w:rsidR="006137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9D1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EC3003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="00EC3003">
              <w:rPr>
                <w:rFonts w:ascii="Times New Roman" w:hAnsi="Times New Roman"/>
                <w:sz w:val="28"/>
                <w:szCs w:val="28"/>
              </w:rPr>
              <w:t>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</w:t>
            </w:r>
            <w:r w:rsidR="00AB1CDF">
              <w:t>20</w:t>
            </w:r>
            <w:r w:rsidR="005C3455">
              <w:t xml:space="preserve"> - 20</w:t>
            </w:r>
            <w:r w:rsidR="00847C4C">
              <w:t>2</w:t>
            </w:r>
            <w:r w:rsidR="00AB1CDF">
              <w:t>2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D459B">
        <w:trPr>
          <w:trHeight w:val="3661"/>
        </w:trPr>
        <w:tc>
          <w:tcPr>
            <w:tcW w:w="2977" w:type="dxa"/>
          </w:tcPr>
          <w:p w:rsidR="00E802CB" w:rsidRPr="00AB1CDF" w:rsidRDefault="00AB1CDF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CD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2C7326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326">
              <w:rPr>
                <w:rFonts w:ascii="Times New Roman" w:hAnsi="Times New Roman" w:cs="Times New Roman"/>
                <w:sz w:val="28"/>
                <w:szCs w:val="28"/>
              </w:rPr>
              <w:t>3 260 000,00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>3 260 000,00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2C7326">
              <w:rPr>
                <w:rFonts w:ascii="Times New Roman" w:hAnsi="Times New Roman"/>
                <w:sz w:val="28"/>
                <w:szCs w:val="28"/>
              </w:rPr>
              <w:t>3 260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B1CDF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2C7326">
              <w:rPr>
                <w:rFonts w:ascii="Times New Roman" w:hAnsi="Times New Roman"/>
                <w:sz w:val="28"/>
                <w:szCs w:val="28"/>
              </w:rPr>
              <w:t>1 100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 000,00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</w:t>
            </w:r>
            <w:r w:rsidR="00AB1CDF">
              <w:rPr>
                <w:rFonts w:ascii="Times New Roman" w:hAnsi="Times New Roman"/>
                <w:sz w:val="28"/>
                <w:szCs w:val="28"/>
              </w:rPr>
              <w:t>1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C7326">
              <w:rPr>
                <w:rFonts w:ascii="Times New Roman" w:hAnsi="Times New Roman"/>
                <w:sz w:val="28"/>
                <w:szCs w:val="28"/>
              </w:rPr>
              <w:t>1 080 000,00</w:t>
            </w:r>
            <w:r w:rsidR="002C7326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B1CDF">
              <w:rPr>
                <w:rFonts w:ascii="Times New Roman" w:hAnsi="Times New Roman"/>
                <w:sz w:val="28"/>
                <w:szCs w:val="28"/>
              </w:rPr>
              <w:t>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2C7326">
              <w:rPr>
                <w:rFonts w:ascii="Times New Roman" w:hAnsi="Times New Roman"/>
                <w:sz w:val="28"/>
                <w:szCs w:val="28"/>
              </w:rPr>
              <w:t>1 080 000,00</w:t>
            </w:r>
            <w:r w:rsidR="002C7326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D459B" w:rsidRPr="00CC4A85" w:rsidRDefault="00756981" w:rsidP="00ED459B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ED459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802CB" w:rsidRPr="0004633A" w:rsidRDefault="00E802CB" w:rsidP="00596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C8E" w:rsidRPr="005368D9" w:rsidRDefault="00684C8E" w:rsidP="00684C8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 Основные разделы Подпрограммы №1</w:t>
      </w:r>
    </w:p>
    <w:p w:rsidR="00684C8E" w:rsidRPr="005368D9" w:rsidRDefault="00684C8E" w:rsidP="00684C8E">
      <w:pPr>
        <w:widowControl w:val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2.1. Постановка муниципальной  проблемы и обоснование необходимости разработки Подпрограммы № 1</w:t>
      </w: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lastRenderedPageBreak/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 xml:space="preserve">тсортированных отходов без их переработки к местам размещения и захоронения ведут к безвозвратной ежегодной потере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>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8E4E33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8E4E33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8E4E33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2.2. Основная цель, задачи и сроки выполнения 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Подпрограммы № 1, показатели результативности</w:t>
      </w:r>
    </w:p>
    <w:p w:rsidR="00821371" w:rsidRPr="00684C8E" w:rsidRDefault="005368D9" w:rsidP="005368D9">
      <w:pPr>
        <w:pStyle w:val="ConsPlusTitle"/>
        <w:ind w:left="-113" w:right="227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21371">
        <w:rPr>
          <w:rFonts w:ascii="Times New Roman" w:hAnsi="Times New Roman"/>
          <w:b w:val="0"/>
          <w:sz w:val="28"/>
          <w:szCs w:val="28"/>
        </w:rPr>
        <w:t>Цель</w:t>
      </w:r>
      <w:r>
        <w:rPr>
          <w:rFonts w:ascii="Times New Roman" w:hAnsi="Times New Roman"/>
          <w:b w:val="0"/>
          <w:sz w:val="28"/>
          <w:szCs w:val="28"/>
        </w:rPr>
        <w:t>:</w:t>
      </w:r>
      <w:r w:rsidR="0082137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="00821371" w:rsidRPr="00684C8E">
        <w:rPr>
          <w:rFonts w:ascii="Times New Roman" w:hAnsi="Times New Roman"/>
          <w:b w:val="0"/>
          <w:sz w:val="28"/>
          <w:szCs w:val="28"/>
        </w:rPr>
        <w:t xml:space="preserve">нижение негативного воздействия твердых коммунальных отходов на </w:t>
      </w:r>
      <w:r>
        <w:rPr>
          <w:rFonts w:ascii="Times New Roman" w:hAnsi="Times New Roman"/>
          <w:b w:val="0"/>
          <w:sz w:val="28"/>
          <w:szCs w:val="28"/>
        </w:rPr>
        <w:t>о</w:t>
      </w:r>
      <w:r w:rsidR="00821371" w:rsidRPr="00684C8E">
        <w:rPr>
          <w:rFonts w:ascii="Times New Roman" w:hAnsi="Times New Roman"/>
          <w:b w:val="0"/>
          <w:sz w:val="28"/>
          <w:szCs w:val="28"/>
        </w:rPr>
        <w:t>кружающую среду и здоровье населения.</w:t>
      </w:r>
    </w:p>
    <w:p w:rsidR="00ED459B" w:rsidRDefault="00821371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Задача</w:t>
      </w:r>
      <w:r w:rsidRPr="008F204A">
        <w:rPr>
          <w:rFonts w:ascii="Times New Roman" w:hAnsi="Times New Roman"/>
          <w:sz w:val="28"/>
          <w:szCs w:val="28"/>
        </w:rPr>
        <w:t xml:space="preserve">. </w:t>
      </w:r>
      <w:r w:rsidR="00ED459B">
        <w:rPr>
          <w:rFonts w:ascii="Times New Roman" w:hAnsi="Times New Roman"/>
          <w:sz w:val="28"/>
          <w:szCs w:val="28"/>
        </w:rPr>
        <w:t>Участие в организации сбора, транспортирования, обработки, утилизации, обезвреживани</w:t>
      </w:r>
      <w:r w:rsidR="00FF141E">
        <w:rPr>
          <w:rFonts w:ascii="Times New Roman" w:hAnsi="Times New Roman"/>
          <w:sz w:val="28"/>
          <w:szCs w:val="28"/>
        </w:rPr>
        <w:t>я</w:t>
      </w:r>
      <w:r w:rsidR="00ED459B">
        <w:rPr>
          <w:rFonts w:ascii="Times New Roman" w:hAnsi="Times New Roman"/>
          <w:sz w:val="28"/>
          <w:szCs w:val="28"/>
        </w:rPr>
        <w:t xml:space="preserve"> и размещения твердых коммунальных отходов.</w:t>
      </w:r>
    </w:p>
    <w:p w:rsidR="00821371" w:rsidRPr="002338D8" w:rsidRDefault="00ED459B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2338D8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решение данной задачи, предусматривают ликвидацию несанкционированных свалок на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ЗАТО Железногорск. В </w:t>
      </w:r>
      <w:r w:rsidR="00821371" w:rsidRPr="002338D8">
        <w:rPr>
          <w:rFonts w:ascii="Times New Roman" w:hAnsi="Times New Roman" w:cs="Times New Roman"/>
          <w:sz w:val="28"/>
          <w:szCs w:val="28"/>
        </w:rPr>
        <w:lastRenderedPageBreak/>
        <w:t xml:space="preserve">рамках данной задачи предусматривается в будущем выполнение работ по материально-техническому обеспечению системы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несанкционированным размещением отходов.</w:t>
      </w:r>
    </w:p>
    <w:p w:rsidR="00821371" w:rsidRPr="00FC4C1E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D459B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</w:t>
      </w:r>
      <w:r w:rsidRPr="00FC4C1E">
        <w:rPr>
          <w:rFonts w:ascii="Times New Roman" w:hAnsi="Times New Roman" w:cs="Times New Roman"/>
          <w:sz w:val="28"/>
          <w:szCs w:val="28"/>
        </w:rPr>
        <w:t xml:space="preserve">указаны в приложении </w:t>
      </w:r>
    </w:p>
    <w:p w:rsidR="00821371" w:rsidRPr="00FC4C1E" w:rsidRDefault="00821371" w:rsidP="00ED459B">
      <w:pPr>
        <w:widowControl w:val="0"/>
        <w:spacing w:after="0" w:line="240" w:lineRule="auto"/>
        <w:ind w:left="-5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№ 1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821371" w:rsidRDefault="00821371" w:rsidP="00821371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38D8">
        <w:rPr>
          <w:rFonts w:ascii="Times New Roman" w:hAnsi="Times New Roman" w:cs="Times New Roman"/>
          <w:sz w:val="28"/>
          <w:szCs w:val="28"/>
        </w:rPr>
        <w:t>Система мероприятий подпрограммы предусматривает выполнение работ по обеспечению санитарно-эпидемиологического благополучия населения посредством ликвидации несанкционированных свалок.</w:t>
      </w:r>
    </w:p>
    <w:p w:rsidR="00821371" w:rsidRPr="005368D9" w:rsidRDefault="00821371" w:rsidP="00821371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2.3. Механизм реализации Подпрограммы № 1</w:t>
      </w:r>
    </w:p>
    <w:p w:rsidR="00821371" w:rsidRPr="007C5ED3" w:rsidRDefault="00821371" w:rsidP="008213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ED3">
        <w:rPr>
          <w:rFonts w:ascii="Times New Roman" w:hAnsi="Times New Roman" w:cs="Times New Roman"/>
          <w:sz w:val="28"/>
          <w:szCs w:val="28"/>
        </w:rPr>
        <w:t>Финансирование подпрограммных мероприятий осуществляется в следующих формах:</w:t>
      </w:r>
    </w:p>
    <w:p w:rsidR="00821371" w:rsidRPr="007C5ED3" w:rsidRDefault="00821371" w:rsidP="008213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ED3">
        <w:rPr>
          <w:rFonts w:ascii="Times New Roman" w:hAnsi="Times New Roman" w:cs="Times New Roman"/>
          <w:sz w:val="28"/>
          <w:szCs w:val="28"/>
        </w:rPr>
        <w:t xml:space="preserve">- бюджетные инвестиции в объекты муниципальной собственности; </w:t>
      </w:r>
    </w:p>
    <w:p w:rsidR="00821371" w:rsidRPr="00821371" w:rsidRDefault="00821371" w:rsidP="008213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5ED3">
        <w:rPr>
          <w:sz w:val="28"/>
          <w:szCs w:val="28"/>
        </w:rPr>
        <w:t xml:space="preserve">        </w:t>
      </w:r>
      <w:r w:rsidRPr="00821371">
        <w:rPr>
          <w:rFonts w:ascii="Times New Roman" w:hAnsi="Times New Roman" w:cs="Times New Roman"/>
          <w:sz w:val="28"/>
          <w:szCs w:val="28"/>
        </w:rPr>
        <w:t>- бюджетные ассигнования на закупку товаров, работ, услуг для обеспечения муниципальных нужд в соответствии с действующим законодательством.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Главными распорядителем бюджетных средств, выделенных из местного бюджета на реализацию мероприятий подпрограммы, является Администрация ЗАТО г. Железногорск и финансовое управление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елезногорск.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из местного бюджета, осуществляют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МКУ «УКС», которые являются получателями бюджетных средств и несут ответственность за их целевое использование. </w:t>
      </w:r>
    </w:p>
    <w:p w:rsidR="00821371" w:rsidRPr="00821371" w:rsidRDefault="00821371" w:rsidP="008213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Органам, ответственным  за проведение мероприятий, в рамках которых предполагается размещение муниципального заказа,  необходимо осуществлять привлечение к выполнению работ юридических и физических лиц, по результатам размещения муниципального заказа, проведенного в  соответствии с действующим законодательством.</w:t>
      </w:r>
    </w:p>
    <w:p w:rsidR="0057590B" w:rsidRDefault="0057590B" w:rsidP="0082137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371" w:rsidRPr="005368D9" w:rsidRDefault="00821371" w:rsidP="0082137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1 и контроль </w:t>
      </w:r>
    </w:p>
    <w:p w:rsidR="00821371" w:rsidRPr="005368D9" w:rsidRDefault="00821371" w:rsidP="00821371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lastRenderedPageBreak/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821371" w:rsidRPr="00821371" w:rsidRDefault="00821371" w:rsidP="00722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 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осуществляется посредством закупки товаров, работ, услуг для обеспечения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нужд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предоставления субсидий муниципальным автономным или бюджетным учреждениям, субсидий иным юридическим лицам, бюджетных ассигнований на капитальные вложения и в иных формах в соответствии с бюджетным законодательством.</w:t>
      </w:r>
    </w:p>
    <w:p w:rsidR="00417A34" w:rsidRP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в сроки и по форме, установленной </w:t>
      </w:r>
      <w:r w:rsidR="0072216E">
        <w:rPr>
          <w:rFonts w:ascii="Times New Roman" w:hAnsi="Times New Roman"/>
          <w:sz w:val="28"/>
          <w:szCs w:val="28"/>
        </w:rPr>
        <w:t xml:space="preserve">Управлением городского хозяйства </w:t>
      </w:r>
      <w:proofErr w:type="gramStart"/>
      <w:r w:rsidR="0072216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2216E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</w:t>
      </w:r>
      <w:r w:rsidR="0072216E">
        <w:rPr>
          <w:rFonts w:ascii="Times New Roman" w:hAnsi="Times New Roman"/>
          <w:sz w:val="28"/>
          <w:szCs w:val="28"/>
        </w:rPr>
        <w:t>Управлением городского хозяйства</w:t>
      </w:r>
      <w:r>
        <w:rPr>
          <w:rFonts w:ascii="Times New Roman" w:hAnsi="Times New Roman"/>
          <w:sz w:val="28"/>
          <w:szCs w:val="28"/>
        </w:rPr>
        <w:t xml:space="preserve"> одновременно в Управление экономики и планирования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и Финансовое управление Администрации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ЗАТО Железногорск, утвержденному постановлением Администрации ЗАТО г. Железногорск от 21.08.2013 № 1301.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72216E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, на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72216E">
        <w:rPr>
          <w:rFonts w:ascii="Times New Roman" w:hAnsi="Times New Roman" w:cs="Times New Roman"/>
          <w:sz w:val="28"/>
          <w:szCs w:val="28"/>
        </w:rPr>
        <w:t xml:space="preserve">     </w:t>
      </w:r>
      <w:r w:rsidRPr="00821371">
        <w:rPr>
          <w:rFonts w:ascii="Times New Roman" w:hAnsi="Times New Roman" w:cs="Times New Roman"/>
          <w:sz w:val="28"/>
          <w:szCs w:val="28"/>
        </w:rPr>
        <w:t>Администрации ЗАТО</w:t>
      </w:r>
    </w:p>
    <w:p w:rsidR="00821371" w:rsidRPr="00821371" w:rsidRDefault="0072216E" w:rsidP="0072216E">
      <w:pPr>
        <w:widowControl w:val="0"/>
        <w:autoSpaceDE w:val="0"/>
        <w:autoSpaceDN w:val="0"/>
        <w:adjustRightInd w:val="0"/>
        <w:spacing w:after="0" w:line="240" w:lineRule="auto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371" w:rsidRPr="00821371">
        <w:rPr>
          <w:rFonts w:ascii="Times New Roman" w:hAnsi="Times New Roman" w:cs="Times New Roman"/>
          <w:sz w:val="28"/>
          <w:szCs w:val="28"/>
        </w:rPr>
        <w:t xml:space="preserve">г. Железногорск в сети Интернет. </w:t>
      </w:r>
    </w:p>
    <w:p w:rsidR="0072216E" w:rsidRDefault="0072216E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1371" w:rsidRPr="005368D9" w:rsidRDefault="00821371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№1</w:t>
      </w:r>
    </w:p>
    <w:p w:rsidR="00821371" w:rsidRPr="00821371" w:rsidRDefault="00821371" w:rsidP="007221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6E" w:rsidRDefault="00821371" w:rsidP="0072216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821371" w:rsidRPr="00821371" w:rsidRDefault="00821371" w:rsidP="0072216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№ 2 к Подпрограмме № 1.</w:t>
      </w:r>
    </w:p>
    <w:p w:rsidR="00821371" w:rsidRDefault="00821371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7590B" w:rsidRPr="00821371" w:rsidRDefault="0057590B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21371" w:rsidRPr="00821371" w:rsidRDefault="00821371" w:rsidP="00014D0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Л.М. </w:t>
      </w:r>
      <w:proofErr w:type="spellStart"/>
      <w:r w:rsidRPr="00821371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821371" w:rsidRPr="00821371" w:rsidSect="002338D8">
      <w:headerReference w:type="default" r:id="rId8"/>
      <w:pgSz w:w="11905" w:h="16838"/>
      <w:pgMar w:top="542" w:right="851" w:bottom="426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36A" w:rsidRDefault="0055236A" w:rsidP="009644EE">
      <w:pPr>
        <w:spacing w:after="0" w:line="240" w:lineRule="auto"/>
      </w:pPr>
      <w:r>
        <w:separator/>
      </w:r>
    </w:p>
  </w:endnote>
  <w:endnote w:type="continuationSeparator" w:id="0">
    <w:p w:rsidR="0055236A" w:rsidRDefault="0055236A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36A" w:rsidRDefault="0055236A" w:rsidP="009644EE">
      <w:pPr>
        <w:spacing w:after="0" w:line="240" w:lineRule="auto"/>
      </w:pPr>
      <w:r>
        <w:separator/>
      </w:r>
    </w:p>
  </w:footnote>
  <w:footnote w:type="continuationSeparator" w:id="0">
    <w:p w:rsidR="0055236A" w:rsidRDefault="0055236A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81645"/>
      <w:docPartObj>
        <w:docPartGallery w:val="Page Numbers (Top of Page)"/>
        <w:docPartUnique/>
      </w:docPartObj>
    </w:sdtPr>
    <w:sdtContent>
      <w:p w:rsidR="009644EE" w:rsidRDefault="008E4E33">
        <w:pPr>
          <w:pStyle w:val="a6"/>
          <w:jc w:val="center"/>
        </w:pPr>
        <w:fldSimple w:instr=" PAGE   \* MERGEFORMAT ">
          <w:r w:rsidR="006137EB">
            <w:rPr>
              <w:noProof/>
            </w:rPr>
            <w:t>6</w:t>
          </w:r>
        </w:fldSimple>
      </w:p>
    </w:sdtContent>
  </w:sdt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4D01"/>
    <w:rsid w:val="00017E01"/>
    <w:rsid w:val="00046F82"/>
    <w:rsid w:val="00052F37"/>
    <w:rsid w:val="0006093E"/>
    <w:rsid w:val="000872A0"/>
    <w:rsid w:val="000A18FC"/>
    <w:rsid w:val="000C10BC"/>
    <w:rsid w:val="000F65A2"/>
    <w:rsid w:val="00104796"/>
    <w:rsid w:val="00133440"/>
    <w:rsid w:val="00160699"/>
    <w:rsid w:val="00162F83"/>
    <w:rsid w:val="001E0D0E"/>
    <w:rsid w:val="001E2A76"/>
    <w:rsid w:val="002078D5"/>
    <w:rsid w:val="002338D8"/>
    <w:rsid w:val="00273B0C"/>
    <w:rsid w:val="002905D6"/>
    <w:rsid w:val="0029516B"/>
    <w:rsid w:val="00295196"/>
    <w:rsid w:val="002A742B"/>
    <w:rsid w:val="002C7326"/>
    <w:rsid w:val="00313CE7"/>
    <w:rsid w:val="0038474F"/>
    <w:rsid w:val="003A3CC4"/>
    <w:rsid w:val="003C4FC2"/>
    <w:rsid w:val="0040245D"/>
    <w:rsid w:val="004054CD"/>
    <w:rsid w:val="00417A34"/>
    <w:rsid w:val="004373F2"/>
    <w:rsid w:val="00467FBC"/>
    <w:rsid w:val="00470DA2"/>
    <w:rsid w:val="00484627"/>
    <w:rsid w:val="00486923"/>
    <w:rsid w:val="004A3C30"/>
    <w:rsid w:val="005070DE"/>
    <w:rsid w:val="00513DFB"/>
    <w:rsid w:val="005236DD"/>
    <w:rsid w:val="005368D9"/>
    <w:rsid w:val="00542DAA"/>
    <w:rsid w:val="0055236A"/>
    <w:rsid w:val="0057590B"/>
    <w:rsid w:val="00582327"/>
    <w:rsid w:val="0059620C"/>
    <w:rsid w:val="0059739A"/>
    <w:rsid w:val="005B7651"/>
    <w:rsid w:val="005C3455"/>
    <w:rsid w:val="005E3127"/>
    <w:rsid w:val="005E3E82"/>
    <w:rsid w:val="005F2C30"/>
    <w:rsid w:val="006122A0"/>
    <w:rsid w:val="006137EB"/>
    <w:rsid w:val="006201B9"/>
    <w:rsid w:val="00621D79"/>
    <w:rsid w:val="006264F5"/>
    <w:rsid w:val="00664668"/>
    <w:rsid w:val="006721A2"/>
    <w:rsid w:val="006765E6"/>
    <w:rsid w:val="00684C8E"/>
    <w:rsid w:val="006B3EEF"/>
    <w:rsid w:val="00707147"/>
    <w:rsid w:val="007102CF"/>
    <w:rsid w:val="0072216E"/>
    <w:rsid w:val="0072426D"/>
    <w:rsid w:val="00756981"/>
    <w:rsid w:val="007652DC"/>
    <w:rsid w:val="007B3543"/>
    <w:rsid w:val="007E2BC2"/>
    <w:rsid w:val="00821371"/>
    <w:rsid w:val="00823081"/>
    <w:rsid w:val="00834D09"/>
    <w:rsid w:val="00847C4C"/>
    <w:rsid w:val="00857792"/>
    <w:rsid w:val="008779B0"/>
    <w:rsid w:val="008869D2"/>
    <w:rsid w:val="008B71A3"/>
    <w:rsid w:val="008D24E9"/>
    <w:rsid w:val="008E4E33"/>
    <w:rsid w:val="008F5BD7"/>
    <w:rsid w:val="00904AF2"/>
    <w:rsid w:val="009053F9"/>
    <w:rsid w:val="00911D36"/>
    <w:rsid w:val="00915CBD"/>
    <w:rsid w:val="009269C0"/>
    <w:rsid w:val="00934977"/>
    <w:rsid w:val="00961DBA"/>
    <w:rsid w:val="009644EE"/>
    <w:rsid w:val="0096785A"/>
    <w:rsid w:val="00975F7C"/>
    <w:rsid w:val="009959E2"/>
    <w:rsid w:val="009A0E97"/>
    <w:rsid w:val="009B5F6E"/>
    <w:rsid w:val="009C5FC0"/>
    <w:rsid w:val="009D1430"/>
    <w:rsid w:val="009F1B2C"/>
    <w:rsid w:val="009F56B2"/>
    <w:rsid w:val="00A510FA"/>
    <w:rsid w:val="00A75918"/>
    <w:rsid w:val="00A8367F"/>
    <w:rsid w:val="00A95891"/>
    <w:rsid w:val="00AB1CDF"/>
    <w:rsid w:val="00AC2A7B"/>
    <w:rsid w:val="00AD73D5"/>
    <w:rsid w:val="00AE37C0"/>
    <w:rsid w:val="00AF094C"/>
    <w:rsid w:val="00B02782"/>
    <w:rsid w:val="00B15F23"/>
    <w:rsid w:val="00B34BDA"/>
    <w:rsid w:val="00B42B6F"/>
    <w:rsid w:val="00B746D4"/>
    <w:rsid w:val="00BB3907"/>
    <w:rsid w:val="00BE49DD"/>
    <w:rsid w:val="00C20678"/>
    <w:rsid w:val="00C5484D"/>
    <w:rsid w:val="00C63EE8"/>
    <w:rsid w:val="00C84EB0"/>
    <w:rsid w:val="00C9531C"/>
    <w:rsid w:val="00CB7366"/>
    <w:rsid w:val="00CF3FA5"/>
    <w:rsid w:val="00CF4A4E"/>
    <w:rsid w:val="00D11305"/>
    <w:rsid w:val="00D17986"/>
    <w:rsid w:val="00D40B92"/>
    <w:rsid w:val="00D44585"/>
    <w:rsid w:val="00D44890"/>
    <w:rsid w:val="00D8091C"/>
    <w:rsid w:val="00DD6F27"/>
    <w:rsid w:val="00DF3F64"/>
    <w:rsid w:val="00E1326B"/>
    <w:rsid w:val="00E56878"/>
    <w:rsid w:val="00E57DAF"/>
    <w:rsid w:val="00E802CB"/>
    <w:rsid w:val="00E93B00"/>
    <w:rsid w:val="00E95236"/>
    <w:rsid w:val="00EC3003"/>
    <w:rsid w:val="00ED1CE0"/>
    <w:rsid w:val="00ED3280"/>
    <w:rsid w:val="00ED459B"/>
    <w:rsid w:val="00EE486F"/>
    <w:rsid w:val="00EE4B9D"/>
    <w:rsid w:val="00EF1CF1"/>
    <w:rsid w:val="00F13FE1"/>
    <w:rsid w:val="00F162B1"/>
    <w:rsid w:val="00F21D9E"/>
    <w:rsid w:val="00F56BED"/>
    <w:rsid w:val="00F917FF"/>
    <w:rsid w:val="00FA2BEF"/>
    <w:rsid w:val="00FA3DDE"/>
    <w:rsid w:val="00FB452A"/>
    <w:rsid w:val="00FC4C1E"/>
    <w:rsid w:val="00FF14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AB1C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10">
    <w:name w:val="Заголовок 1 Знак"/>
    <w:basedOn w:val="a0"/>
    <w:link w:val="1"/>
    <w:rsid w:val="00AB1C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417A34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417A34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08C59-6D28-4AA4-82CC-5ECFAD16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6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54</cp:revision>
  <cp:lastPrinted>2019-11-18T03:17:00Z</cp:lastPrinted>
  <dcterms:created xsi:type="dcterms:W3CDTF">2013-08-30T01:22:00Z</dcterms:created>
  <dcterms:modified xsi:type="dcterms:W3CDTF">2019-11-18T03:18:00Z</dcterms:modified>
</cp:coreProperties>
</file>