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E578C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B57BC7">
              <w:rPr>
                <w:rFonts w:ascii="Times New Roman" w:hAnsi="Times New Roman"/>
                <w:sz w:val="24"/>
                <w:szCs w:val="24"/>
              </w:rPr>
              <w:t>72 575 513,97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27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20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9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7C1D17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9 0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9 0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57BC7">
              <w:rPr>
                <w:rFonts w:ascii="Times New Roman" w:hAnsi="Times New Roman"/>
                <w:sz w:val="24"/>
                <w:szCs w:val="24"/>
              </w:rPr>
              <w:t>72 548 513,97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7BC7">
              <w:rPr>
                <w:rFonts w:ascii="Times New Roman" w:hAnsi="Times New Roman"/>
                <w:sz w:val="24"/>
                <w:szCs w:val="24"/>
              </w:rPr>
              <w:t>24 491 701,97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C763ED">
              <w:rPr>
                <w:rFonts w:ascii="Times New Roman" w:hAnsi="Times New Roman"/>
                <w:sz w:val="24"/>
                <w:szCs w:val="24"/>
              </w:rPr>
              <w:t>1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24 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028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19446A" w:rsidRPr="005C60D7">
              <w:rPr>
                <w:rFonts w:ascii="Times New Roman" w:hAnsi="Times New Roman"/>
                <w:sz w:val="24"/>
                <w:szCs w:val="24"/>
              </w:rPr>
              <w:t>406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19446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24 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028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19446A" w:rsidRPr="005C60D7">
              <w:rPr>
                <w:rFonts w:ascii="Times New Roman" w:hAnsi="Times New Roman"/>
                <w:sz w:val="24"/>
                <w:szCs w:val="24"/>
              </w:rPr>
              <w:t>406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B2CE1" w:rsidRPr="00B70597" w:rsidRDefault="00DB2CE1" w:rsidP="00DB2CE1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DB2CE1" w:rsidRPr="00800DBD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DB2CE1" w:rsidRPr="0032692E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</w:t>
      </w:r>
      <w:r w:rsidRPr="00313F13">
        <w:rPr>
          <w:sz w:val="28"/>
          <w:szCs w:val="28"/>
        </w:rPr>
        <w:lastRenderedPageBreak/>
        <w:t xml:space="preserve">централизованного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B2CE1" w:rsidRPr="00313F13" w:rsidRDefault="00DB2CE1" w:rsidP="00DB2CE1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9308FB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C70D3A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«Гортеплоэнерго»,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7533C0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DB2CE1" w:rsidRDefault="00DB2CE1" w:rsidP="00DB2CE1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DB2CE1" w:rsidRPr="00313F13" w:rsidRDefault="00DB2CE1" w:rsidP="00DB2CE1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DB2CE1" w:rsidRPr="00D544F0" w:rsidRDefault="00DB2CE1" w:rsidP="00DB2CE1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</w:t>
      </w:r>
      <w:r w:rsidR="007533C0">
        <w:rPr>
          <w:spacing w:val="-5"/>
          <w:szCs w:val="28"/>
        </w:rPr>
        <w:t>БУ</w:t>
      </w:r>
      <w:r w:rsidRPr="00D544F0">
        <w:rPr>
          <w:spacing w:val="-5"/>
          <w:szCs w:val="28"/>
        </w:rPr>
        <w:t xml:space="preserve">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 МП «</w:t>
      </w:r>
      <w:proofErr w:type="spellStart"/>
      <w:r w:rsidRPr="00D544F0">
        <w:rPr>
          <w:spacing w:val="-5"/>
          <w:szCs w:val="28"/>
        </w:rPr>
        <w:t>Горэлектро</w:t>
      </w:r>
      <w:r>
        <w:rPr>
          <w:spacing w:val="-5"/>
          <w:szCs w:val="28"/>
        </w:rPr>
        <w:t>сеть</w:t>
      </w:r>
      <w:proofErr w:type="spellEnd"/>
      <w:r>
        <w:rPr>
          <w:spacing w:val="-5"/>
          <w:szCs w:val="28"/>
        </w:rPr>
        <w:t xml:space="preserve">», 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DB2CE1" w:rsidRPr="00C76EB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lastRenderedPageBreak/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DB2CE1" w:rsidRPr="00C76EB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DB2CE1" w:rsidRDefault="00DB2CE1" w:rsidP="00DB2CE1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proofErr w:type="gramStart"/>
      <w:r w:rsidRPr="00824DA4">
        <w:rPr>
          <w:sz w:val="28"/>
          <w:szCs w:val="28"/>
        </w:rPr>
        <w:t>Согласно решения</w:t>
      </w:r>
      <w:proofErr w:type="gramEnd"/>
      <w:r w:rsidRPr="00824DA4">
        <w:rPr>
          <w:sz w:val="28"/>
          <w:szCs w:val="28"/>
        </w:rPr>
        <w:t xml:space="preserve"> </w:t>
      </w:r>
      <w:r w:rsidR="00152837" w:rsidRPr="00824DA4">
        <w:rPr>
          <w:sz w:val="28"/>
          <w:szCs w:val="28"/>
        </w:rPr>
        <w:t>Совета депутатов ЗАТО г. Железногорск</w:t>
      </w:r>
      <w:r w:rsidR="00152837" w:rsidRPr="00824DA4">
        <w:t xml:space="preserve"> </w:t>
      </w:r>
      <w:r w:rsidR="00152837" w:rsidRPr="00824DA4">
        <w:rPr>
          <w:sz w:val="28"/>
          <w:szCs w:val="28"/>
        </w:rPr>
        <w:t xml:space="preserve">от </w:t>
      </w:r>
      <w:r w:rsidR="00152837" w:rsidRPr="0027552C">
        <w:rPr>
          <w:rFonts w:eastAsia="Calibri"/>
          <w:bCs/>
          <w:sz w:val="28"/>
          <w:szCs w:val="28"/>
        </w:rPr>
        <w:t>1</w:t>
      </w:r>
      <w:r w:rsidR="00152837" w:rsidRPr="009E06A9">
        <w:rPr>
          <w:rFonts w:eastAsia="Calibri"/>
          <w:bCs/>
          <w:sz w:val="28"/>
          <w:szCs w:val="28"/>
        </w:rPr>
        <w:t>2</w:t>
      </w:r>
      <w:r w:rsidR="00152837" w:rsidRPr="0027552C">
        <w:rPr>
          <w:rFonts w:eastAsia="Calibri"/>
          <w:bCs/>
          <w:sz w:val="28"/>
          <w:szCs w:val="28"/>
        </w:rPr>
        <w:t>.12.201</w:t>
      </w:r>
      <w:r w:rsidR="00152837" w:rsidRPr="009E06A9">
        <w:rPr>
          <w:rFonts w:eastAsia="Calibri"/>
          <w:bCs/>
          <w:sz w:val="28"/>
          <w:szCs w:val="28"/>
        </w:rPr>
        <w:t>9</w:t>
      </w:r>
      <w:r w:rsidR="00152837">
        <w:rPr>
          <w:rFonts w:eastAsia="Calibri"/>
          <w:bCs/>
          <w:sz w:val="28"/>
          <w:szCs w:val="28"/>
        </w:rPr>
        <w:t xml:space="preserve"> </w:t>
      </w:r>
      <w:r w:rsidR="00152837" w:rsidRPr="0027552C">
        <w:rPr>
          <w:rFonts w:eastAsia="Calibri"/>
          <w:bCs/>
          <w:sz w:val="28"/>
          <w:szCs w:val="28"/>
        </w:rPr>
        <w:t xml:space="preserve"> </w:t>
      </w:r>
      <w:r w:rsidR="00152837">
        <w:rPr>
          <w:rFonts w:eastAsia="Calibri"/>
          <w:bCs/>
          <w:sz w:val="28"/>
          <w:szCs w:val="28"/>
        </w:rPr>
        <w:t>№</w:t>
      </w:r>
      <w:r w:rsidR="00152837" w:rsidRPr="0027552C">
        <w:rPr>
          <w:rFonts w:eastAsia="Calibri"/>
          <w:bCs/>
          <w:sz w:val="28"/>
          <w:szCs w:val="28"/>
        </w:rPr>
        <w:t xml:space="preserve"> </w:t>
      </w:r>
      <w:r w:rsidR="00152837" w:rsidRPr="009E4568">
        <w:rPr>
          <w:rFonts w:eastAsia="Calibri"/>
          <w:bCs/>
          <w:sz w:val="28"/>
          <w:szCs w:val="28"/>
        </w:rPr>
        <w:t>49-2</w:t>
      </w:r>
      <w:r w:rsidR="00152837">
        <w:rPr>
          <w:rFonts w:eastAsia="Calibri"/>
          <w:bCs/>
          <w:sz w:val="28"/>
          <w:szCs w:val="28"/>
        </w:rPr>
        <w:t>89</w:t>
      </w:r>
      <w:r w:rsidR="00152837" w:rsidRPr="009E4568">
        <w:rPr>
          <w:rFonts w:eastAsia="Calibri"/>
          <w:bCs/>
          <w:sz w:val="28"/>
          <w:szCs w:val="28"/>
        </w:rPr>
        <w:t>Р</w:t>
      </w:r>
      <w:r w:rsidR="00152837" w:rsidRPr="0027552C">
        <w:rPr>
          <w:rFonts w:eastAsia="Calibri"/>
          <w:bCs/>
          <w:sz w:val="28"/>
          <w:szCs w:val="28"/>
        </w:rPr>
        <w:t xml:space="preserve">  </w:t>
      </w:r>
      <w:r w:rsidR="00152837" w:rsidRPr="0027552C">
        <w:rPr>
          <w:sz w:val="28"/>
          <w:szCs w:val="28"/>
        </w:rPr>
        <w:t>«О бюджете ЗАТО Железногорск на 20</w:t>
      </w:r>
      <w:r w:rsidR="00152837" w:rsidRPr="009E06A9">
        <w:rPr>
          <w:sz w:val="28"/>
          <w:szCs w:val="28"/>
        </w:rPr>
        <w:t>20</w:t>
      </w:r>
      <w:r w:rsidR="00152837" w:rsidRPr="0027552C">
        <w:rPr>
          <w:sz w:val="28"/>
          <w:szCs w:val="28"/>
        </w:rPr>
        <w:t xml:space="preserve"> год и плановый период 20</w:t>
      </w:r>
      <w:r w:rsidR="00152837">
        <w:rPr>
          <w:sz w:val="28"/>
          <w:szCs w:val="28"/>
        </w:rPr>
        <w:t>2</w:t>
      </w:r>
      <w:r w:rsidR="00152837" w:rsidRPr="009E06A9">
        <w:rPr>
          <w:sz w:val="28"/>
          <w:szCs w:val="28"/>
        </w:rPr>
        <w:t>1</w:t>
      </w:r>
      <w:r w:rsidR="00152837" w:rsidRPr="0027552C">
        <w:rPr>
          <w:sz w:val="28"/>
          <w:szCs w:val="28"/>
        </w:rPr>
        <w:t>-202</w:t>
      </w:r>
      <w:r w:rsidR="00152837" w:rsidRPr="009E06A9">
        <w:rPr>
          <w:sz w:val="28"/>
          <w:szCs w:val="28"/>
        </w:rPr>
        <w:t>2</w:t>
      </w:r>
      <w:r w:rsidR="00152837" w:rsidRPr="0027552C">
        <w:rPr>
          <w:sz w:val="28"/>
          <w:szCs w:val="28"/>
        </w:rPr>
        <w:t xml:space="preserve"> годов»</w:t>
      </w:r>
      <w:r w:rsidRPr="00824DA4">
        <w:rPr>
          <w:sz w:val="28"/>
          <w:szCs w:val="28"/>
        </w:rPr>
        <w:t xml:space="preserve"> резервный фонд Администрации ЗАТО</w:t>
      </w:r>
      <w:r w:rsidR="00F9550F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г. Железногорск по состоянию на 20</w:t>
      </w:r>
      <w:r w:rsidR="00152837"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DB2CE1" w:rsidRPr="009F316D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DB2CE1" w:rsidRPr="00310D32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lastRenderedPageBreak/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DB2CE1" w:rsidRPr="00550C2E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DB2CE1" w:rsidRPr="001147ED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20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22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590659">
        <w:rPr>
          <w:rFonts w:ascii="Times New Roman" w:hAnsi="Times New Roman" w:cs="Times New Roman"/>
          <w:sz w:val="28"/>
          <w:szCs w:val="28"/>
        </w:rPr>
        <w:t>исполнением подпрпограммы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 Железногорск, полномочия, состав и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34F7E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298" w:rsidRDefault="00741298" w:rsidP="00D33EFD">
      <w:pPr>
        <w:spacing w:after="0" w:line="240" w:lineRule="auto"/>
      </w:pPr>
      <w:r>
        <w:separator/>
      </w:r>
    </w:p>
  </w:endnote>
  <w:endnote w:type="continuationSeparator" w:id="0">
    <w:p w:rsidR="00741298" w:rsidRDefault="00741298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298" w:rsidRDefault="00741298" w:rsidP="00D33EFD">
      <w:pPr>
        <w:spacing w:after="0" w:line="240" w:lineRule="auto"/>
      </w:pPr>
      <w:r>
        <w:separator/>
      </w:r>
    </w:p>
  </w:footnote>
  <w:footnote w:type="continuationSeparator" w:id="0">
    <w:p w:rsidR="00741298" w:rsidRDefault="00741298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C00E11">
        <w:pPr>
          <w:pStyle w:val="af"/>
        </w:pPr>
        <w:fldSimple w:instr=" PAGE   \* MERGEFORMAT ">
          <w:r w:rsidR="00C70D3A">
            <w:rPr>
              <w:noProof/>
            </w:rPr>
            <w:t>6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14CF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679AF"/>
    <w:rsid w:val="00072F38"/>
    <w:rsid w:val="0007362C"/>
    <w:rsid w:val="00073CF5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0DB3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44B4"/>
    <w:rsid w:val="00395FAB"/>
    <w:rsid w:val="00397DCC"/>
    <w:rsid w:val="003A19C8"/>
    <w:rsid w:val="003A6D62"/>
    <w:rsid w:val="003B114A"/>
    <w:rsid w:val="003B1DF1"/>
    <w:rsid w:val="003B1F01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354F"/>
    <w:rsid w:val="006E5D0D"/>
    <w:rsid w:val="006E5D81"/>
    <w:rsid w:val="006E6F4B"/>
    <w:rsid w:val="006E7267"/>
    <w:rsid w:val="006F22D8"/>
    <w:rsid w:val="006F328B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1B2F"/>
    <w:rsid w:val="007A6274"/>
    <w:rsid w:val="007A6859"/>
    <w:rsid w:val="007A688F"/>
    <w:rsid w:val="007B00D0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A5692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3C3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BC1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41ECD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445D"/>
    <w:rsid w:val="00F74D98"/>
    <w:rsid w:val="00F74EED"/>
    <w:rsid w:val="00F75C31"/>
    <w:rsid w:val="00F80D67"/>
    <w:rsid w:val="00F86633"/>
    <w:rsid w:val="00F930E0"/>
    <w:rsid w:val="00F939E6"/>
    <w:rsid w:val="00F9550F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254F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6A87D-C17E-4505-BB83-31170B6E1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2348</Words>
  <Characters>13389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6</cp:revision>
  <cp:lastPrinted>2020-10-12T02:24:00Z</cp:lastPrinted>
  <dcterms:created xsi:type="dcterms:W3CDTF">2020-10-11T03:54:00Z</dcterms:created>
  <dcterms:modified xsi:type="dcterms:W3CDTF">2020-10-12T02:24:00Z</dcterms:modified>
</cp:coreProperties>
</file>