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5A4C79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06.10.2022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2066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20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E2E7A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2E7A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E2E7A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EE2E7A">
        <w:rPr>
          <w:rFonts w:ascii="Times New Roman" w:hAnsi="Times New Roman"/>
          <w:sz w:val="27"/>
          <w:szCs w:val="27"/>
        </w:rPr>
        <w:t>,</w:t>
      </w:r>
      <w:r w:rsidR="00326C04" w:rsidRPr="00EE2E7A">
        <w:rPr>
          <w:rFonts w:ascii="Times New Roman" w:hAnsi="Times New Roman"/>
          <w:sz w:val="27"/>
          <w:szCs w:val="27"/>
        </w:rPr>
        <w:t xml:space="preserve"> </w:t>
      </w: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766E91" w:rsidRPr="00EE2E7A">
        <w:rPr>
          <w:rFonts w:ascii="Times New Roman" w:hAnsi="Times New Roman"/>
          <w:b w:val="0"/>
          <w:sz w:val="27"/>
          <w:szCs w:val="27"/>
        </w:rPr>
        <w:t xml:space="preserve">Управляющая компания «НАШ ЖЕЛЕЗНОГОРСКИЙ ДВОР»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(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ООО УК «НАШ ЖЕЛЕЗНОГОРСКИЙ ДВОР»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)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20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EE2E7A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20</w:t>
      </w:r>
      <w:r w:rsidR="00F73C21" w:rsidRPr="00EE2E7A">
        <w:rPr>
          <w:rFonts w:ascii="Times New Roman" w:hAnsi="Times New Roman"/>
          <w:b w:val="0"/>
          <w:sz w:val="27"/>
          <w:szCs w:val="27"/>
        </w:rPr>
        <w:t>,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EE2E7A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EE2E7A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3.</w:t>
      </w:r>
      <w:r w:rsidR="00205156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EE2E7A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sz w:val="27"/>
          <w:szCs w:val="27"/>
        </w:rPr>
        <w:t>, д. 20</w:t>
      </w:r>
      <w:r w:rsidR="00EE2E7A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на период, установленный пунктом 1 </w:t>
      </w:r>
      <w:r w:rsidR="0019413A" w:rsidRPr="00EE2E7A">
        <w:rPr>
          <w:rFonts w:ascii="Times New Roman" w:hAnsi="Times New Roman"/>
          <w:sz w:val="27"/>
          <w:szCs w:val="27"/>
        </w:rPr>
        <w:lastRenderedPageBreak/>
        <w:t xml:space="preserve">настоящего постановления, в размере </w:t>
      </w:r>
      <w:r w:rsidR="00766E91" w:rsidRPr="00EE2E7A">
        <w:rPr>
          <w:rFonts w:ascii="Times New Roman" w:hAnsi="Times New Roman"/>
          <w:sz w:val="27"/>
          <w:szCs w:val="27"/>
        </w:rPr>
        <w:t>6</w:t>
      </w:r>
      <w:r w:rsidR="00E303E2" w:rsidRPr="00EE2E7A">
        <w:rPr>
          <w:rFonts w:ascii="Times New Roman" w:hAnsi="Times New Roman"/>
          <w:sz w:val="27"/>
          <w:szCs w:val="27"/>
        </w:rPr>
        <w:t>3</w:t>
      </w:r>
      <w:r w:rsidR="00766E91" w:rsidRPr="00EE2E7A">
        <w:rPr>
          <w:rFonts w:ascii="Times New Roman" w:hAnsi="Times New Roman"/>
          <w:sz w:val="27"/>
          <w:szCs w:val="27"/>
        </w:rPr>
        <w:t>,2</w:t>
      </w:r>
      <w:r w:rsidR="00E303E2" w:rsidRPr="00EE2E7A">
        <w:rPr>
          <w:rFonts w:ascii="Times New Roman" w:hAnsi="Times New Roman"/>
          <w:sz w:val="27"/>
          <w:szCs w:val="27"/>
        </w:rPr>
        <w:t>7</w:t>
      </w:r>
      <w:r w:rsidR="0019413A" w:rsidRPr="00EE2E7A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EE2E7A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4</w:t>
      </w:r>
      <w:r w:rsidR="00341161" w:rsidRPr="00EE2E7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 xml:space="preserve">Предоставление коммунальных услуг по водоснабжению, водоотведению, электроснабжению, теплоснабжению собственникам и пользователям помещений в многоквартирном доме в период управления управляющей организацией ООО УК «НАШ ЖЕЛЕЗНОГОРСКИЙ ДВОР» </w:t>
      </w:r>
      <w:r w:rsidR="008E7A5A" w:rsidRPr="00674103">
        <w:rPr>
          <w:rFonts w:ascii="Times New Roman" w:hAnsi="Times New Roman"/>
          <w:sz w:val="27"/>
          <w:szCs w:val="27"/>
        </w:rPr>
        <w:t>осуществляется ресурсоснабжающ</w:t>
      </w:r>
      <w:r w:rsidR="008E7A5A">
        <w:rPr>
          <w:rFonts w:ascii="Times New Roman" w:hAnsi="Times New Roman"/>
          <w:sz w:val="27"/>
          <w:szCs w:val="27"/>
        </w:rPr>
        <w:t>ими</w:t>
      </w:r>
      <w:r w:rsidR="008E7A5A" w:rsidRPr="00674103">
        <w:rPr>
          <w:rFonts w:ascii="Times New Roman" w:hAnsi="Times New Roman"/>
          <w:sz w:val="27"/>
          <w:szCs w:val="27"/>
        </w:rPr>
        <w:t xml:space="preserve"> организаци</w:t>
      </w:r>
      <w:r w:rsidR="008E7A5A">
        <w:rPr>
          <w:rFonts w:ascii="Times New Roman" w:hAnsi="Times New Roman"/>
          <w:sz w:val="27"/>
          <w:szCs w:val="27"/>
        </w:rPr>
        <w:t>ями, в том числе</w:t>
      </w:r>
      <w:r w:rsidR="008E7A5A" w:rsidRPr="00674103">
        <w:rPr>
          <w:rFonts w:ascii="Times New Roman" w:hAnsi="Times New Roman"/>
          <w:sz w:val="27"/>
          <w:szCs w:val="27"/>
        </w:rPr>
        <w:t xml:space="preserve"> ООО «КРАСЭКО-ЭЛЕКТРО»,</w:t>
      </w:r>
      <w:r w:rsidR="008E7A5A" w:rsidRPr="00EE2E7A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9" w:history="1">
        <w:r w:rsidR="008E7A5A" w:rsidRPr="00EE2E7A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8E7A5A" w:rsidRPr="00EE2E7A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EE2E7A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20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E303E2" w:rsidRPr="00EE2E7A">
        <w:rPr>
          <w:rFonts w:ascii="Times New Roman" w:hAnsi="Times New Roman"/>
          <w:b w:val="0"/>
          <w:sz w:val="27"/>
          <w:szCs w:val="27"/>
        </w:rPr>
        <w:t>ООО УК «НАШ ЖЕЛЕЗНОГОРСКИЙ ДВОР»</w:t>
      </w:r>
      <w:r w:rsidRPr="00EE2E7A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EE2E7A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EE2E7A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EE2E7A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9. Контроль над исполнением настоящего постановления </w:t>
      </w:r>
      <w:r w:rsidR="00EE2E7A" w:rsidRPr="00EE2E7A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EE2E7A">
        <w:rPr>
          <w:rFonts w:ascii="Times New Roman" w:hAnsi="Times New Roman" w:cs="Times New Roman"/>
          <w:sz w:val="27"/>
          <w:szCs w:val="27"/>
        </w:rPr>
        <w:t>.</w:t>
      </w:r>
    </w:p>
    <w:p w:rsidR="0019413A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10. </w:t>
      </w:r>
      <w:r w:rsidR="008E7A5A" w:rsidRPr="00EE2E7A">
        <w:rPr>
          <w:rFonts w:ascii="Times New Roman" w:hAnsi="Times New Roman" w:cs="Times New Roman"/>
          <w:sz w:val="27"/>
          <w:szCs w:val="27"/>
        </w:rPr>
        <w:t xml:space="preserve">Настоящее постановление </w:t>
      </w:r>
      <w:proofErr w:type="gramStart"/>
      <w:r w:rsidR="008E7A5A" w:rsidRPr="00EE2E7A">
        <w:rPr>
          <w:rFonts w:ascii="Times New Roman" w:hAnsi="Times New Roman" w:cs="Times New Roman"/>
          <w:sz w:val="27"/>
          <w:szCs w:val="27"/>
        </w:rPr>
        <w:t>вступает в силу после его официального опубликования</w:t>
      </w:r>
      <w:r w:rsidR="008E7A5A" w:rsidRPr="008573C0">
        <w:rPr>
          <w:rFonts w:ascii="Times New Roman" w:hAnsi="Times New Roman" w:cs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 w:cs="Times New Roman"/>
          <w:sz w:val="27"/>
          <w:szCs w:val="27"/>
        </w:rPr>
        <w:t>и распространяется</w:t>
      </w:r>
      <w:proofErr w:type="gramEnd"/>
      <w:r w:rsidR="008E7A5A" w:rsidRPr="00674103">
        <w:rPr>
          <w:rFonts w:ascii="Times New Roman" w:hAnsi="Times New Roman" w:cs="Times New Roman"/>
          <w:sz w:val="27"/>
          <w:szCs w:val="27"/>
        </w:rPr>
        <w:t xml:space="preserve"> </w:t>
      </w:r>
      <w:r w:rsidR="008E7A5A">
        <w:rPr>
          <w:rFonts w:ascii="Times New Roman" w:hAnsi="Times New Roman" w:cs="Times New Roman"/>
          <w:sz w:val="27"/>
          <w:szCs w:val="27"/>
        </w:rPr>
        <w:t>на правоотношения, возникшие с 0</w:t>
      </w:r>
      <w:r w:rsidR="006A2CD8">
        <w:rPr>
          <w:rFonts w:ascii="Times New Roman" w:hAnsi="Times New Roman" w:cs="Times New Roman"/>
          <w:sz w:val="27"/>
          <w:szCs w:val="27"/>
        </w:rPr>
        <w:t>7</w:t>
      </w:r>
      <w:r w:rsidR="008E7A5A" w:rsidRPr="00674103">
        <w:rPr>
          <w:rFonts w:ascii="Times New Roman" w:hAnsi="Times New Roman" w:cs="Times New Roman"/>
          <w:sz w:val="27"/>
          <w:szCs w:val="27"/>
        </w:rPr>
        <w:t> </w:t>
      </w:r>
      <w:r w:rsidR="008E7A5A">
        <w:rPr>
          <w:rFonts w:ascii="Times New Roman" w:hAnsi="Times New Roman" w:cs="Times New Roman"/>
          <w:sz w:val="27"/>
          <w:szCs w:val="27"/>
        </w:rPr>
        <w:t>октября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  2022 года.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       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EE2E7A" w:rsidRPr="00EE2E7A">
        <w:rPr>
          <w:rFonts w:ascii="Times New Roman" w:hAnsi="Times New Roman"/>
          <w:sz w:val="27"/>
          <w:szCs w:val="27"/>
        </w:rPr>
        <w:t>И.Г. Куксин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A4C79">
        <w:rPr>
          <w:rFonts w:ascii="Times New Roman" w:eastAsia="Times New Roman" w:hAnsi="Times New Roman"/>
          <w:sz w:val="28"/>
          <w:szCs w:val="28"/>
        </w:rPr>
        <w:t>06.10.2022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A4C79">
        <w:rPr>
          <w:rFonts w:ascii="Times New Roman" w:eastAsia="Times New Roman" w:hAnsi="Times New Roman"/>
          <w:sz w:val="28"/>
          <w:szCs w:val="28"/>
        </w:rPr>
        <w:t>2066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161C4B" w:rsidRPr="00161C4B">
        <w:rPr>
          <w:rFonts w:ascii="Times New Roman" w:hAnsi="Times New Roman"/>
          <w:sz w:val="28"/>
          <w:szCs w:val="28"/>
        </w:rPr>
        <w:t>Комсомольская, д</w:t>
      </w:r>
      <w:r w:rsidR="006A2CD8">
        <w:rPr>
          <w:rFonts w:ascii="Times New Roman" w:hAnsi="Times New Roman"/>
          <w:sz w:val="28"/>
          <w:szCs w:val="28"/>
        </w:rPr>
        <w:t>. 20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93" w:type="dxa"/>
        <w:tblInd w:w="93" w:type="dxa"/>
        <w:tblLayout w:type="fixed"/>
        <w:tblLook w:val="04A0"/>
      </w:tblPr>
      <w:tblGrid>
        <w:gridCol w:w="841"/>
        <w:gridCol w:w="2341"/>
        <w:gridCol w:w="2377"/>
        <w:gridCol w:w="977"/>
        <w:gridCol w:w="1297"/>
        <w:gridCol w:w="2260"/>
      </w:tblGrid>
      <w:tr w:rsidR="006A2CD8" w:rsidRPr="006A2CD8" w:rsidTr="006A2CD8">
        <w:trPr>
          <w:trHeight w:val="42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6A2CD8" w:rsidRPr="006A2CD8" w:rsidTr="006A2CD8">
        <w:trPr>
          <w:trHeight w:val="84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A2CD8" w:rsidRPr="006A2CD8" w:rsidTr="006A2CD8">
        <w:trPr>
          <w:trHeight w:val="42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CD8" w:rsidRPr="00EE2E7A" w:rsidRDefault="006A2CD8" w:rsidP="006A2CD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E2E7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A2CD8" w:rsidRPr="006A2CD8" w:rsidTr="006A2CD8">
        <w:trPr>
          <w:trHeight w:val="42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6A2CD8" w:rsidRPr="006A2CD8" w:rsidTr="006A2CD8">
        <w:trPr>
          <w:trHeight w:val="15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6A2CD8" w:rsidRPr="006A2CD8" w:rsidTr="006A2CD8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6A2CD8" w:rsidRPr="006A2CD8" w:rsidTr="006A2CD8">
        <w:trPr>
          <w:trHeight w:val="12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6A2CD8" w:rsidRPr="006A2CD8" w:rsidTr="006A2CD8">
        <w:trPr>
          <w:trHeight w:val="73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6A2CD8" w:rsidRPr="006A2CD8" w:rsidTr="006A2CD8">
        <w:trPr>
          <w:trHeight w:val="15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заполнений в помещениях, относящихся к общему имуществу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6A2CD8" w:rsidRPr="006A2CD8" w:rsidTr="006A2CD8">
        <w:trPr>
          <w:trHeight w:val="85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6A2CD8" w:rsidRPr="006A2CD8" w:rsidTr="006A2CD8">
        <w:trPr>
          <w:trHeight w:val="90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6A2CD8" w:rsidRPr="006A2CD8" w:rsidTr="006A2CD8">
        <w:trPr>
          <w:trHeight w:val="21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A2CD8" w:rsidRPr="006A2CD8" w:rsidTr="006A2CD8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3.1.3.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54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6A2CD8" w:rsidRPr="006A2CD8" w:rsidTr="006A2CD8">
        <w:trPr>
          <w:trHeight w:val="37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6A2CD8" w:rsidRPr="006A2CD8" w:rsidTr="006A2CD8">
        <w:trPr>
          <w:trHeight w:val="81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12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6A2CD8" w:rsidRPr="006A2CD8" w:rsidTr="006A2CD8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7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10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82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4.2.7.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61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6A2CD8" w:rsidRPr="006A2CD8" w:rsidTr="006A2CD8">
        <w:trPr>
          <w:trHeight w:val="237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6A2CD8" w:rsidRPr="006A2CD8" w:rsidTr="006A2CD8">
        <w:trPr>
          <w:trHeight w:val="73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13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6A2CD8" w:rsidRPr="006A2CD8" w:rsidTr="006A2CD8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5.2.2.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6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6A2CD8" w:rsidRPr="006A2CD8" w:rsidTr="006A2CD8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5.3.2.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светильников для ламп накаливания с датчиком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48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6A2CD8" w:rsidRPr="006A2CD8" w:rsidTr="006A2CD8">
        <w:trPr>
          <w:trHeight w:val="52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6A2CD8" w:rsidRPr="006A2CD8" w:rsidTr="006A2CD8">
        <w:trPr>
          <w:trHeight w:val="9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2CD8" w:rsidRPr="006A2CD8" w:rsidTr="006A2CD8">
        <w:trPr>
          <w:trHeight w:val="28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2CD8" w:rsidRPr="006A2CD8" w:rsidTr="006A2CD8">
        <w:trPr>
          <w:trHeight w:val="9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A2CD8" w:rsidRPr="006A2CD8" w:rsidTr="006A2CD8">
        <w:trPr>
          <w:trHeight w:val="88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7. 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6A2CD8" w:rsidRPr="006A2CD8" w:rsidTr="006A2CD8">
        <w:trPr>
          <w:trHeight w:val="24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A2CD8" w:rsidRPr="006A2CD8" w:rsidTr="006A2CD8">
        <w:trPr>
          <w:trHeight w:val="537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A2CD8" w:rsidRPr="006A2CD8" w:rsidTr="006A2CD8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34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7.2.2.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535,4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55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6A2CD8" w:rsidRPr="006A2CD8" w:rsidTr="006A2CD8">
        <w:trPr>
          <w:trHeight w:val="127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6A2CD8" w:rsidRPr="006A2CD8" w:rsidTr="006A2CD8">
        <w:trPr>
          <w:trHeight w:val="27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4,01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6A2CD8" w:rsidRPr="006A2CD8" w:rsidTr="006A2CD8">
        <w:trPr>
          <w:trHeight w:val="67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6A2CD8" w:rsidRPr="006A2CD8" w:rsidTr="006A2CD8">
        <w:trPr>
          <w:trHeight w:val="18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6A2CD8" w:rsidRPr="006A2CD8" w:rsidTr="006A2CD8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9.1.1.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A2CD8" w:rsidRPr="006A2CD8" w:rsidTr="006A2CD8">
        <w:trPr>
          <w:trHeight w:val="42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6A2CD8" w:rsidRPr="006A2CD8" w:rsidTr="006A2CD8">
        <w:trPr>
          <w:trHeight w:val="22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</w:t>
            </w:r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утилизации, обезвреживанию, размещению таких отходов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2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6A2CD8" w:rsidRPr="006A2CD8" w:rsidTr="006A2CD8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6A2CD8" w:rsidRPr="006A2CD8" w:rsidTr="006A2CD8">
        <w:trPr>
          <w:trHeight w:val="30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6A2CD8" w:rsidRPr="006A2CD8" w:rsidTr="006A2CD8">
        <w:trPr>
          <w:trHeight w:val="412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535,4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6A2CD8" w:rsidRPr="006A2CD8" w:rsidTr="006A2CD8">
        <w:trPr>
          <w:trHeight w:val="495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6A2CD8" w:rsidRPr="006A2CD8" w:rsidTr="006A2CD8">
        <w:trPr>
          <w:trHeight w:val="250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535,4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D8" w:rsidRPr="006A2CD8" w:rsidRDefault="006A2CD8" w:rsidP="006A2CD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A2CD8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D8" w:rsidRDefault="006A2CD8">
      <w:r>
        <w:separator/>
      </w:r>
    </w:p>
  </w:endnote>
  <w:endnote w:type="continuationSeparator" w:id="0">
    <w:p w:rsidR="006A2CD8" w:rsidRDefault="006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D8" w:rsidRDefault="006A2CD8">
      <w:r>
        <w:separator/>
      </w:r>
    </w:p>
  </w:footnote>
  <w:footnote w:type="continuationSeparator" w:id="0">
    <w:p w:rsidR="006A2CD8" w:rsidRDefault="006A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2CD8" w:rsidRDefault="000F7942" w:rsidP="00690443">
        <w:pPr>
          <w:pStyle w:val="a7"/>
          <w:jc w:val="center"/>
        </w:pPr>
        <w:fldSimple w:instr=" PAGE   \* MERGEFORMAT ">
          <w:r w:rsidR="005A4C79">
            <w:rPr>
              <w:noProof/>
            </w:rPr>
            <w:t>2</w:t>
          </w:r>
        </w:fldSimple>
      </w:p>
    </w:sdtContent>
  </w:sdt>
  <w:p w:rsidR="006A2CD8" w:rsidRDefault="006A2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07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42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4C79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D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FAFDC-249D-4787-B3D8-EA9079E4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1835</Words>
  <Characters>13039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52</cp:revision>
  <cp:lastPrinted>2022-09-30T02:04:00Z</cp:lastPrinted>
  <dcterms:created xsi:type="dcterms:W3CDTF">2019-05-15T05:17:00Z</dcterms:created>
  <dcterms:modified xsi:type="dcterms:W3CDTF">2022-10-06T04:26:00Z</dcterms:modified>
</cp:coreProperties>
</file>