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«Комплексные меры противодействия терроризму и экстремизму»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-Участие в профилактике терроризма и экстремизма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-Количество проведенных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менее 15 (по 5 ежегодно);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</w:t>
            </w:r>
            <w:r w:rsidR="00257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ежегодно); 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4F476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4F4764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4F4764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C34305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266 529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4F4764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</w:t>
            </w:r>
            <w:r w:rsidR="00735122">
              <w:rPr>
                <w:rFonts w:eastAsia="Times New Roman"/>
                <w:sz w:val="24"/>
                <w:szCs w:val="24"/>
                <w:lang w:eastAsia="en-US"/>
              </w:rPr>
              <w:t>86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="00735122">
              <w:rPr>
                <w:rFonts w:eastAsia="Times New Roman"/>
                <w:sz w:val="24"/>
                <w:szCs w:val="24"/>
                <w:lang w:eastAsia="en-US"/>
              </w:rPr>
              <w:t>529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4F4764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237144" w:rsidP="004F476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4F4764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год – 90 000,0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направлена на исполнение государственных, правительственных решений по противодействию терроризму, органами власти, правоохранительными органами, по осуществлению в  ЗАТО  Железногорск  комплекса организационно - практических мер по обеспечению правопорядка и антитеррористической безопасности. 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состояние антитеррористической защищённости ЗАТО Железногорск 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сферах.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Прослеживается  активизация так называемого «ложного» терроризма и сохраняющейся террористической угрозы.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важно, как знать правила оказания первой медицинской помощи. </w:t>
      </w:r>
    </w:p>
    <w:p w:rsidR="003A328A" w:rsidRDefault="003A328A" w:rsidP="003A32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Меры, предусматриваемые настоящей подпрограммой, направлены на повышение уровня знаний у учащихся 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слоёв населения ЗАТО Железногорск</w:t>
      </w:r>
      <w:r>
        <w:rPr>
          <w:rFonts w:ascii="Times New Roman" w:eastAsia="Times New Roman" w:hAnsi="Times New Roman" w:cs="Times New Roman"/>
          <w:sz w:val="24"/>
          <w:szCs w:val="24"/>
        </w:rPr>
        <w:t>, приобщение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взаимопомощи, умелым и быстрым действиям в любой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путём  проведения 15 семинаров-практикумов по антитеррористической подготовке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с 202</w:t>
      </w:r>
      <w:r w:rsidR="006F72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по 202</w:t>
      </w:r>
      <w:r w:rsidR="006F72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годы;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правильной позиции по антитеррористическим действиям у населения ЗАТО Железногорск;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изготовление и размещение социальных баннеров с  антитеррористической рекламой в количестве  не менее 9 штук.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5327DB">
        <w:rPr>
          <w:rFonts w:eastAsia="Times New Roman"/>
          <w:b/>
          <w:sz w:val="24"/>
          <w:szCs w:val="24"/>
        </w:rPr>
        <w:t>.2. Основная цель, задачи</w:t>
      </w:r>
      <w:r>
        <w:rPr>
          <w:rFonts w:eastAsia="Times New Roman"/>
          <w:b/>
          <w:sz w:val="24"/>
          <w:szCs w:val="24"/>
        </w:rPr>
        <w:t xml:space="preserve"> и сроки выполнения </w:t>
      </w:r>
    </w:p>
    <w:p w:rsidR="003A328A" w:rsidRDefault="005327DB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целью подпрограммы является участие в профилактике терроризма и экстремизма. Для достижения поставленной цели необходимо решить задачу повышения информированности населения по действиям при возникновении террористических угроз.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подпрограммы направленными на реализацию поставленной цели являются: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Проведение </w:t>
      </w:r>
      <w:r w:rsidR="009427D2">
        <w:rPr>
          <w:rFonts w:eastAsia="Times New Roman"/>
          <w:sz w:val="24"/>
          <w:szCs w:val="24"/>
        </w:rPr>
        <w:t>антитеррористической профилактической акции «Семинар-практикум по антитеррористической подготовке с учащимися образовательных учреждений ЗАТО Железногорск».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Срок реализации подпрограммы </w:t>
      </w:r>
      <w:r>
        <w:rPr>
          <w:rFonts w:eastAsia="Times New Roman"/>
          <w:sz w:val="24"/>
          <w:szCs w:val="24"/>
        </w:rPr>
        <w:sym w:font="Symbol" w:char="002D"/>
      </w:r>
      <w:r>
        <w:rPr>
          <w:rFonts w:eastAsia="Times New Roman"/>
          <w:sz w:val="24"/>
          <w:szCs w:val="24"/>
        </w:rPr>
        <w:t xml:space="preserve"> 202</w:t>
      </w:r>
      <w:r w:rsidR="006F7298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-202</w:t>
      </w:r>
      <w:r w:rsidR="006F7298">
        <w:rPr>
          <w:rFonts w:eastAsia="Times New Roman"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 xml:space="preserve"> гг.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9427D2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приведен в приложении № 1 к подпрограмме 1.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3A328A" w:rsidRDefault="003A328A" w:rsidP="003A328A">
      <w:pPr>
        <w:pStyle w:val="ConsPlusNonformat"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Администрация ЗАТО г.Железногорск, МКУ «Управление образования», </w:t>
      </w:r>
    </w:p>
    <w:p w:rsidR="003A328A" w:rsidRDefault="003A328A" w:rsidP="003A328A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6" w:anchor="Par377" w:history="1">
        <w:r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: Администрация ЗАТО г. Железногорск.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3A328A" w:rsidRDefault="003A328A" w:rsidP="003A328A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A328A" w:rsidRDefault="003A328A" w:rsidP="003A328A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A328A" w:rsidRDefault="003A328A" w:rsidP="003A328A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работы по реализации данной подпрограммы осуществляет МАГ АТК по ЗАТО Железногорск.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регулирующими бюджетные правоотношения, осуществляет ревизионный отдел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Управления внутреннего контроля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ЗАТО г.Железногорск. 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бюджетных правоотношений осуществляет контрольно-ревизионная служба Совета депутатов ЗАТО г.Железногорск, полномочия, состав и порядок деятельности которой определяются Советом депутатов ЗАТО г.Железногорск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Перечень мероприятий подпрограммы приведён в приложении № 2 к подпрограмме.</w:t>
      </w:r>
      <w:r>
        <w:rPr>
          <w:rFonts w:eastAsia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024C36"/>
    <w:rsid w:val="000F262D"/>
    <w:rsid w:val="0014454E"/>
    <w:rsid w:val="001C36DD"/>
    <w:rsid w:val="00237144"/>
    <w:rsid w:val="00257CF8"/>
    <w:rsid w:val="002E627B"/>
    <w:rsid w:val="002E7804"/>
    <w:rsid w:val="003A328A"/>
    <w:rsid w:val="004073A1"/>
    <w:rsid w:val="00434F44"/>
    <w:rsid w:val="004F4764"/>
    <w:rsid w:val="005327DB"/>
    <w:rsid w:val="006F7298"/>
    <w:rsid w:val="00735122"/>
    <w:rsid w:val="007932B3"/>
    <w:rsid w:val="008A2D2F"/>
    <w:rsid w:val="009427D2"/>
    <w:rsid w:val="0099395A"/>
    <w:rsid w:val="009B7E11"/>
    <w:rsid w:val="00B76AB4"/>
    <w:rsid w:val="00C34305"/>
    <w:rsid w:val="00CD5FF9"/>
    <w:rsid w:val="00CF6E5B"/>
    <w:rsid w:val="00D42D5E"/>
    <w:rsid w:val="00D9511B"/>
    <w:rsid w:val="00E2220D"/>
    <w:rsid w:val="00E829E5"/>
    <w:rsid w:val="00EB6D2D"/>
    <w:rsid w:val="00EC1C22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7AF1C-783C-48C8-8A94-99C398FB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3</cp:revision>
  <dcterms:created xsi:type="dcterms:W3CDTF">2022-12-09T01:54:00Z</dcterms:created>
  <dcterms:modified xsi:type="dcterms:W3CDTF">2022-12-09T01:58:00Z</dcterms:modified>
</cp:coreProperties>
</file>