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693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A01864" w:rsidRPr="00FD3432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E23764">
        <w:rPr>
          <w:rFonts w:ascii="Times New Roman" w:hAnsi="Times New Roman"/>
          <w:sz w:val="28"/>
          <w:szCs w:val="28"/>
        </w:rPr>
        <w:t xml:space="preserve">02 декабря </w:t>
      </w:r>
      <w:r w:rsidR="005C075A">
        <w:rPr>
          <w:rFonts w:ascii="Times New Roman" w:hAnsi="Times New Roman"/>
          <w:sz w:val="28"/>
          <w:szCs w:val="28"/>
        </w:rPr>
        <w:t>201</w:t>
      </w:r>
      <w:r w:rsidR="004E3F88">
        <w:rPr>
          <w:rFonts w:ascii="Times New Roman" w:hAnsi="Times New Roman"/>
          <w:sz w:val="28"/>
          <w:szCs w:val="28"/>
        </w:rPr>
        <w:t>6</w:t>
      </w:r>
      <w:r w:rsidR="005C075A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E23764">
        <w:rPr>
          <w:rFonts w:ascii="Times New Roman" w:hAnsi="Times New Roman"/>
          <w:sz w:val="28"/>
          <w:szCs w:val="28"/>
        </w:rPr>
        <w:t>2050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11AB" w:rsidRPr="00662F20" w:rsidRDefault="0082669F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3221BC">
              <w:rPr>
                <w:rFonts w:ascii="Times New Roman" w:hAnsi="Times New Roman"/>
                <w:sz w:val="24"/>
                <w:szCs w:val="24"/>
              </w:rPr>
              <w:t xml:space="preserve"> МКУ «Централизованная бухгалтерия»</w:t>
            </w:r>
            <w:r w:rsidR="00662F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Pr="009C78DC" w:rsidRDefault="001D63DD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B27773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обороны, предупреждения и ликвидации чрезвычайных ситуаций (далее -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 и ЧС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6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противопожарной пропаганды</w:t>
            </w:r>
            <w:r w:rsidR="002D1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2CD" w:rsidRPr="009C78DC" w:rsidRDefault="00DF52CD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приведены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662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BA59AF">
              <w:rPr>
                <w:rFonts w:ascii="Times New Roman" w:hAnsi="Times New Roman"/>
                <w:sz w:val="24"/>
                <w:szCs w:val="24"/>
              </w:rPr>
              <w:t>66 019 191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62F20">
              <w:rPr>
                <w:rFonts w:ascii="Times New Roman" w:hAnsi="Times New Roman"/>
                <w:sz w:val="24"/>
                <w:szCs w:val="24"/>
              </w:rPr>
              <w:t>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,0 рублей: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62F20">
              <w:rPr>
                <w:rFonts w:ascii="Times New Roman" w:hAnsi="Times New Roman"/>
                <w:sz w:val="24"/>
                <w:szCs w:val="24"/>
              </w:rPr>
              <w:t>0</w:t>
            </w:r>
            <w:r w:rsidR="006248EA">
              <w:rPr>
                <w:rFonts w:ascii="Times New Roman" w:hAnsi="Times New Roman"/>
                <w:sz w:val="24"/>
                <w:szCs w:val="24"/>
              </w:rPr>
              <w:t>,0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A59AF">
              <w:rPr>
                <w:rFonts w:ascii="Times New Roman" w:hAnsi="Times New Roman"/>
                <w:sz w:val="24"/>
                <w:szCs w:val="24"/>
              </w:rPr>
              <w:t>66 019 191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A59AF">
              <w:rPr>
                <w:rFonts w:ascii="Times New Roman" w:hAnsi="Times New Roman"/>
                <w:sz w:val="24"/>
                <w:szCs w:val="24"/>
              </w:rPr>
              <w:t>22 679 597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BA59AF">
              <w:rPr>
                <w:rFonts w:ascii="Times New Roman" w:hAnsi="Times New Roman"/>
                <w:sz w:val="24"/>
                <w:szCs w:val="24"/>
              </w:rPr>
              <w:t>669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 </w:t>
            </w:r>
            <w:r w:rsidR="00BA59AF">
              <w:rPr>
                <w:rFonts w:ascii="Times New Roman" w:hAnsi="Times New Roman"/>
                <w:sz w:val="24"/>
                <w:szCs w:val="24"/>
              </w:rPr>
              <w:t>797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669 797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9C78DC" w:rsidRDefault="00F664A7" w:rsidP="00662F2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4E3F88" w:rsidRPr="009C78DC" w:rsidRDefault="006B2679" w:rsidP="009A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мероприятий противопожарной пропаганды не 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A6471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Tr="00693718">
        <w:tc>
          <w:tcPr>
            <w:tcW w:w="3163" w:type="pct"/>
          </w:tcPr>
          <w:p w:rsidR="00693718" w:rsidRDefault="00662F20" w:rsidP="0069371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693718" w:rsidRDefault="00693718" w:rsidP="00693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</w:tcPr>
          <w:p w:rsidR="00693718" w:rsidRDefault="00662F20" w:rsidP="00693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FD03E3" w:rsidRPr="00DF52CD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lastRenderedPageBreak/>
        <w:t>2. Х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арактеристик</w:t>
      </w:r>
      <w:r w:rsidRPr="00DF52CD">
        <w:rPr>
          <w:rFonts w:ascii="Times New Roman" w:hAnsi="Times New Roman"/>
          <w:b/>
          <w:sz w:val="28"/>
          <w:szCs w:val="28"/>
        </w:rPr>
        <w:t>а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текущего состояния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</w:t>
      </w:r>
    </w:p>
    <w:p w:rsidR="00147429" w:rsidRPr="00DF52CD" w:rsidRDefault="00FD03E3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муниципальных объектах ЗАТО Железногорск. 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Железногорск 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территории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lastRenderedPageBreak/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д. 10.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Таким образом, на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 xml:space="preserve">, МП </w:t>
      </w:r>
      <w:r w:rsidRPr="00D544F0">
        <w:rPr>
          <w:spacing w:val="-5"/>
          <w:szCs w:val="28"/>
        </w:rPr>
        <w:lastRenderedPageBreak/>
        <w:t>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76EB8">
        <w:rPr>
          <w:rFonts w:ascii="Times New Roman" w:hAnsi="Times New Roman"/>
          <w:sz w:val="28"/>
          <w:szCs w:val="28"/>
        </w:rPr>
        <w:t>ыполнен ряд мероприятий по приведению в готовность и дальнейшему совершенствованию городского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На базе предприятий и организаций, расположенных на территории ЗАТО Железногорск, созданы территориальные и объектовые нештатные аварийно-спасательные формирования.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15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824DA4">
        <w:rPr>
          <w:sz w:val="28"/>
          <w:szCs w:val="28"/>
        </w:rPr>
        <w:t>5</w:t>
      </w:r>
      <w:r w:rsidR="00573463" w:rsidRPr="00824DA4">
        <w:rPr>
          <w:sz w:val="28"/>
          <w:szCs w:val="28"/>
        </w:rPr>
        <w:t xml:space="preserve"> № </w:t>
      </w:r>
      <w:r w:rsidR="00824DA4">
        <w:rPr>
          <w:sz w:val="28"/>
          <w:szCs w:val="28"/>
        </w:rPr>
        <w:t>5</w:t>
      </w:r>
      <w:r w:rsidR="00573463" w:rsidRPr="00824DA4">
        <w:rPr>
          <w:sz w:val="28"/>
          <w:szCs w:val="28"/>
        </w:rPr>
        <w:t>-</w:t>
      </w:r>
      <w:r w:rsidR="00824DA4">
        <w:rPr>
          <w:sz w:val="28"/>
          <w:szCs w:val="28"/>
        </w:rPr>
        <w:t>17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824DA4">
        <w:rPr>
          <w:sz w:val="28"/>
          <w:szCs w:val="28"/>
        </w:rPr>
        <w:t>6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824DA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>-201</w:t>
      </w:r>
      <w:r w:rsidR="00824DA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824DA4">
        <w:rPr>
          <w:sz w:val="28"/>
          <w:szCs w:val="28"/>
        </w:rPr>
        <w:t>6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1200801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территории ЗАТО Железногорск для укрытия рабочих и служащих </w:t>
      </w:r>
      <w:r w:rsidRPr="000764D8">
        <w:rPr>
          <w:rFonts w:ascii="Times New Roman" w:hAnsi="Times New Roman"/>
          <w:sz w:val="28"/>
          <w:szCs w:val="28"/>
        </w:rPr>
        <w:lastRenderedPageBreak/>
        <w:t>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Pr="001147ED" w:rsidRDefault="00573463" w:rsidP="007E5397">
      <w:pPr>
        <w:pStyle w:val="2"/>
        <w:widowControl w:val="0"/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573463" w:rsidRDefault="00573463" w:rsidP="007E539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lastRenderedPageBreak/>
        <w:t>В последние годы не пополняется запас средств индивидуальной защиты и приборов дозиметрического контроля.</w:t>
      </w:r>
    </w:p>
    <w:p w:rsidR="00573463" w:rsidRDefault="00573463" w:rsidP="007E539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3.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риоритеты и цели социально-экономического развития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в сфере </w:t>
      </w:r>
      <w:r w:rsidRPr="00DF52CD">
        <w:rPr>
          <w:rFonts w:ascii="Times New Roman" w:hAnsi="Times New Roman" w:cs="Times New Roman"/>
          <w:b/>
          <w:sz w:val="28"/>
          <w:szCs w:val="28"/>
        </w:rPr>
        <w:t>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 пожарной безопасности в границах </w:t>
      </w:r>
    </w:p>
    <w:p w:rsidR="00AF157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DF52CD">
        <w:rPr>
          <w:rFonts w:ascii="Times New Roman" w:hAnsi="Times New Roman" w:cs="Times New Roman"/>
          <w:b/>
          <w:sz w:val="28"/>
          <w:szCs w:val="28"/>
        </w:rPr>
        <w:t>одного и техногенного характера.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573" w:rsidRPr="00DF52CD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О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писание основных целей и задач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F1573" w:rsidRPr="00DF52CD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развития и планируемые макроэкономические </w:t>
      </w:r>
    </w:p>
    <w:p w:rsidR="00FD03E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показатели по итогам реа</w:t>
      </w:r>
      <w:r w:rsidR="00AF1573" w:rsidRPr="00DF52CD">
        <w:rPr>
          <w:rFonts w:ascii="Times New Roman" w:hAnsi="Times New Roman"/>
          <w:b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693B6E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Задачи</w:t>
      </w:r>
      <w:r w:rsidR="00693B6E" w:rsidRPr="00693B6E">
        <w:rPr>
          <w:sz w:val="28"/>
          <w:szCs w:val="28"/>
        </w:rPr>
        <w:t xml:space="preserve"> программы</w:t>
      </w:r>
      <w:r w:rsidRPr="00693B6E">
        <w:rPr>
          <w:sz w:val="28"/>
          <w:szCs w:val="28"/>
        </w:rPr>
        <w:t>:</w:t>
      </w:r>
    </w:p>
    <w:p w:rsidR="00693B6E" w:rsidRPr="00693B6E" w:rsidRDefault="00693B6E" w:rsidP="00D63014">
      <w:pPr>
        <w:pStyle w:val="a6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93B6E">
        <w:rPr>
          <w:rFonts w:ascii="Times New Roman" w:hAnsi="Times New Roman"/>
          <w:sz w:val="28"/>
          <w:szCs w:val="28"/>
        </w:rPr>
        <w:t>1. 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2. Проведение противопожарной пропаганды.</w:t>
      </w:r>
    </w:p>
    <w:p w:rsidR="00573463" w:rsidRPr="00D63A85" w:rsidRDefault="00D63A85" w:rsidP="00D6301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3A85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D63A85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D63A85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D63A85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>
        <w:rPr>
          <w:rFonts w:ascii="Times New Roman" w:hAnsi="Times New Roman" w:cs="Times New Roman"/>
          <w:sz w:val="28"/>
          <w:szCs w:val="28"/>
        </w:rPr>
        <w:t>П</w:t>
      </w:r>
      <w:r w:rsidR="00573463" w:rsidRPr="00D63A85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D63A85">
        <w:rPr>
          <w:rFonts w:ascii="Times New Roman" w:hAnsi="Times New Roman" w:cs="Times New Roman"/>
          <w:sz w:val="28"/>
          <w:szCs w:val="28"/>
        </w:rPr>
        <w:t>ы</w:t>
      </w:r>
      <w:r w:rsidR="00573463" w:rsidRPr="00D63A85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4.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и описание конечных результатов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рограммы, </w:t>
      </w:r>
    </w:p>
    <w:p w:rsidR="001F68D4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DF52CD">
        <w:rPr>
          <w:rFonts w:ascii="Times New Roman" w:hAnsi="Times New Roman"/>
          <w:b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8D4" w:rsidRPr="0089344D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ЗАТО Железногорск на </w:t>
      </w:r>
      <w:r w:rsidR="00A35EF4" w:rsidRPr="0089344D">
        <w:rPr>
          <w:rFonts w:ascii="Times New Roman" w:hAnsi="Times New Roman" w:cs="Times New Roman"/>
          <w:sz w:val="28"/>
          <w:szCs w:val="28"/>
        </w:rPr>
        <w:lastRenderedPageBreak/>
        <w:t xml:space="preserve">уровне не менее 100% от общей численности населения ЗАТО Железногорск. </w:t>
      </w:r>
    </w:p>
    <w:p w:rsidR="001F68D4" w:rsidRPr="0089344D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68D4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  <w:r w:rsidR="001F68D4"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Pr="00DF52CD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5. С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роки реализации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824DA4">
        <w:rPr>
          <w:rFonts w:ascii="Times New Roman" w:hAnsi="Times New Roman" w:cs="Times New Roman"/>
          <w:sz w:val="28"/>
          <w:szCs w:val="28"/>
        </w:rPr>
        <w:t>7</w:t>
      </w:r>
      <w:r w:rsidRPr="00536C38">
        <w:rPr>
          <w:rFonts w:ascii="Times New Roman" w:hAnsi="Times New Roman" w:cs="Times New Roman"/>
          <w:sz w:val="28"/>
          <w:szCs w:val="28"/>
        </w:rPr>
        <w:t>-201</w:t>
      </w:r>
      <w:r w:rsidR="00824DA4">
        <w:rPr>
          <w:rFonts w:ascii="Times New Roman" w:hAnsi="Times New Roman" w:cs="Times New Roman"/>
          <w:sz w:val="28"/>
          <w:szCs w:val="28"/>
        </w:rPr>
        <w:t>9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 xml:space="preserve">6. Перечень подпрограмм 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и отдельных мероприятий </w:t>
      </w:r>
      <w:r w:rsidR="00AF1573" w:rsidRPr="00DF52CD">
        <w:rPr>
          <w:rFonts w:ascii="Times New Roman" w:hAnsi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98211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с указанием сроков их реализации</w:t>
      </w:r>
      <w:r w:rsidR="00AF1573" w:rsidRPr="00DF52CD">
        <w:rPr>
          <w:rFonts w:ascii="Times New Roman" w:hAnsi="Times New Roman"/>
          <w:b/>
          <w:sz w:val="28"/>
          <w:szCs w:val="28"/>
        </w:rPr>
        <w:t xml:space="preserve"> </w:t>
      </w:r>
      <w:r w:rsidRPr="00DF52CD">
        <w:rPr>
          <w:rFonts w:ascii="Times New Roman" w:hAnsi="Times New Roman"/>
          <w:b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824DA4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1DD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B4292B" w:rsidRPr="00B4292B">
        <w:rPr>
          <w:rFonts w:ascii="Times New Roman" w:hAnsi="Times New Roman"/>
          <w:sz w:val="28"/>
          <w:szCs w:val="28"/>
        </w:rPr>
        <w:t>Подготовка населения и организаций в области ГО и ЧС</w:t>
      </w:r>
      <w:r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45F1E" w:rsidRDefault="00982113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8"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B1006B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  <w:r w:rsidRPr="00B10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B4292B" w:rsidRPr="00B4292B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6E0D32" w:rsidRDefault="0089344D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4292B" w:rsidRPr="006E0D32">
        <w:rPr>
          <w:color w:val="000000"/>
          <w:sz w:val="28"/>
          <w:szCs w:val="28"/>
        </w:rPr>
        <w:t xml:space="preserve"> </w:t>
      </w:r>
    </w:p>
    <w:p w:rsidR="00B4292B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DA4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DF52CD">
        <w:rPr>
          <w:rFonts w:ascii="Times New Roman" w:hAnsi="Times New Roman"/>
          <w:b/>
          <w:sz w:val="28"/>
          <w:szCs w:val="28"/>
        </w:rPr>
        <w:t xml:space="preserve">Информация о распределении планируемых расходов </w:t>
      </w:r>
    </w:p>
    <w:p w:rsidR="00B4292B" w:rsidRPr="00DF52CD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 xml:space="preserve">по подпрограммам и  отдельным мероприятиям </w:t>
      </w:r>
      <w:r w:rsidR="001F3C6E" w:rsidRPr="00DF52CD">
        <w:rPr>
          <w:rFonts w:ascii="Times New Roman" w:hAnsi="Times New Roman"/>
          <w:b/>
          <w:sz w:val="28"/>
          <w:szCs w:val="28"/>
        </w:rPr>
        <w:t>П</w:t>
      </w:r>
      <w:r w:rsidRPr="00DF52CD">
        <w:rPr>
          <w:rFonts w:ascii="Times New Roman" w:hAnsi="Times New Roman"/>
          <w:b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6611DD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br/>
        <w:t xml:space="preserve">на реализацию целей </w:t>
      </w:r>
      <w:r w:rsidR="00AC2C59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602EDB">
      <w:pPr>
        <w:widowControl w:val="0"/>
        <w:spacing w:after="0" w:line="240" w:lineRule="auto"/>
        <w:rPr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3E7F7B" w:rsidRDefault="00824DA4" w:rsidP="003E376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BB07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824DA4" w:rsidP="003E37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6742B" w:rsidRDefault="00F6742B" w:rsidP="003E7F7B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395" w:rsidRPr="00E91D45" w:rsidRDefault="000F4395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0F4395" w:rsidRPr="00E91D45" w:rsidRDefault="000F4395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395" w:rsidRPr="00E91D45" w:rsidRDefault="000F4395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0F4395" w:rsidRPr="00E91D45" w:rsidRDefault="000F4395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8B4578">
        <w:pPr>
          <w:pStyle w:val="af0"/>
          <w:jc w:val="center"/>
        </w:pPr>
        <w:fldSimple w:instr=" PAGE   \* MERGEFORMAT ">
          <w:r w:rsidR="00E23764">
            <w:rPr>
              <w:noProof/>
            </w:rPr>
            <w:t>11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1362F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6057C"/>
    <w:rsid w:val="00062D25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D40EB"/>
    <w:rsid w:val="000E088C"/>
    <w:rsid w:val="000E2D7C"/>
    <w:rsid w:val="000F0263"/>
    <w:rsid w:val="000F4395"/>
    <w:rsid w:val="0010171E"/>
    <w:rsid w:val="00104ECE"/>
    <w:rsid w:val="001157F5"/>
    <w:rsid w:val="001166AF"/>
    <w:rsid w:val="00123909"/>
    <w:rsid w:val="001261F9"/>
    <w:rsid w:val="00127ECE"/>
    <w:rsid w:val="00134AB8"/>
    <w:rsid w:val="001375DA"/>
    <w:rsid w:val="00137916"/>
    <w:rsid w:val="00137A00"/>
    <w:rsid w:val="00143DB9"/>
    <w:rsid w:val="00145986"/>
    <w:rsid w:val="00147429"/>
    <w:rsid w:val="001476B8"/>
    <w:rsid w:val="0015320A"/>
    <w:rsid w:val="00153B0C"/>
    <w:rsid w:val="00157090"/>
    <w:rsid w:val="00157DAB"/>
    <w:rsid w:val="0016399C"/>
    <w:rsid w:val="001662E0"/>
    <w:rsid w:val="00171AEB"/>
    <w:rsid w:val="001727A1"/>
    <w:rsid w:val="00174955"/>
    <w:rsid w:val="0018180D"/>
    <w:rsid w:val="00181A69"/>
    <w:rsid w:val="001908B3"/>
    <w:rsid w:val="00192533"/>
    <w:rsid w:val="00195E68"/>
    <w:rsid w:val="001A2E12"/>
    <w:rsid w:val="001A467D"/>
    <w:rsid w:val="001A6E31"/>
    <w:rsid w:val="001A7BE8"/>
    <w:rsid w:val="001C1849"/>
    <w:rsid w:val="001C5764"/>
    <w:rsid w:val="001C58AF"/>
    <w:rsid w:val="001C6189"/>
    <w:rsid w:val="001D63DD"/>
    <w:rsid w:val="001E0D4D"/>
    <w:rsid w:val="001E6254"/>
    <w:rsid w:val="001F1619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20085"/>
    <w:rsid w:val="00244313"/>
    <w:rsid w:val="0024451C"/>
    <w:rsid w:val="0024796E"/>
    <w:rsid w:val="00251760"/>
    <w:rsid w:val="002541B7"/>
    <w:rsid w:val="00260185"/>
    <w:rsid w:val="0026072C"/>
    <w:rsid w:val="0026293A"/>
    <w:rsid w:val="00267DD0"/>
    <w:rsid w:val="0027124D"/>
    <w:rsid w:val="00282E15"/>
    <w:rsid w:val="00287347"/>
    <w:rsid w:val="0029470C"/>
    <w:rsid w:val="002A0476"/>
    <w:rsid w:val="002A4290"/>
    <w:rsid w:val="002B423B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7FD7"/>
    <w:rsid w:val="003221BC"/>
    <w:rsid w:val="003226F1"/>
    <w:rsid w:val="003275EC"/>
    <w:rsid w:val="00330FD1"/>
    <w:rsid w:val="00335CA7"/>
    <w:rsid w:val="00342CC5"/>
    <w:rsid w:val="0034648D"/>
    <w:rsid w:val="00361B1A"/>
    <w:rsid w:val="00362C22"/>
    <w:rsid w:val="00376B10"/>
    <w:rsid w:val="003834A6"/>
    <w:rsid w:val="00385F26"/>
    <w:rsid w:val="003877AA"/>
    <w:rsid w:val="003917AB"/>
    <w:rsid w:val="0039720C"/>
    <w:rsid w:val="003A1047"/>
    <w:rsid w:val="003A7217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12EE9"/>
    <w:rsid w:val="00424FAF"/>
    <w:rsid w:val="00446208"/>
    <w:rsid w:val="00462BFD"/>
    <w:rsid w:val="00472CB0"/>
    <w:rsid w:val="00472F94"/>
    <w:rsid w:val="00481DB6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BF6"/>
    <w:rsid w:val="00527D63"/>
    <w:rsid w:val="00530D90"/>
    <w:rsid w:val="00536ECD"/>
    <w:rsid w:val="0054165D"/>
    <w:rsid w:val="005446E6"/>
    <w:rsid w:val="005467DE"/>
    <w:rsid w:val="00556C11"/>
    <w:rsid w:val="00572E83"/>
    <w:rsid w:val="00573463"/>
    <w:rsid w:val="0057346D"/>
    <w:rsid w:val="00577DA6"/>
    <w:rsid w:val="00596165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F20"/>
    <w:rsid w:val="00665491"/>
    <w:rsid w:val="00675086"/>
    <w:rsid w:val="00676E2C"/>
    <w:rsid w:val="00677AE2"/>
    <w:rsid w:val="006914C6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6D09"/>
    <w:rsid w:val="00717D83"/>
    <w:rsid w:val="00732AE6"/>
    <w:rsid w:val="00734A51"/>
    <w:rsid w:val="00741AC4"/>
    <w:rsid w:val="00766145"/>
    <w:rsid w:val="007671B2"/>
    <w:rsid w:val="00767522"/>
    <w:rsid w:val="00774727"/>
    <w:rsid w:val="0077640E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8013FE"/>
    <w:rsid w:val="00802DF4"/>
    <w:rsid w:val="00810951"/>
    <w:rsid w:val="0082015D"/>
    <w:rsid w:val="00821804"/>
    <w:rsid w:val="00822CC3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9066C8"/>
    <w:rsid w:val="0092580E"/>
    <w:rsid w:val="00926BC9"/>
    <w:rsid w:val="009274BD"/>
    <w:rsid w:val="009322A0"/>
    <w:rsid w:val="00937922"/>
    <w:rsid w:val="00942A02"/>
    <w:rsid w:val="00946179"/>
    <w:rsid w:val="0095673A"/>
    <w:rsid w:val="00960E27"/>
    <w:rsid w:val="00964415"/>
    <w:rsid w:val="00966911"/>
    <w:rsid w:val="0096793F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62097"/>
    <w:rsid w:val="00A64711"/>
    <w:rsid w:val="00A66206"/>
    <w:rsid w:val="00A66F5C"/>
    <w:rsid w:val="00A71557"/>
    <w:rsid w:val="00A71C3F"/>
    <w:rsid w:val="00A74FC6"/>
    <w:rsid w:val="00A833B7"/>
    <w:rsid w:val="00A972DD"/>
    <w:rsid w:val="00A977CB"/>
    <w:rsid w:val="00AA355C"/>
    <w:rsid w:val="00AB20D9"/>
    <w:rsid w:val="00AB2C75"/>
    <w:rsid w:val="00AB3DE7"/>
    <w:rsid w:val="00AB6ACA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A59AF"/>
    <w:rsid w:val="00BB07D9"/>
    <w:rsid w:val="00BB2EEE"/>
    <w:rsid w:val="00BC75BA"/>
    <w:rsid w:val="00BD00EE"/>
    <w:rsid w:val="00BD14C0"/>
    <w:rsid w:val="00BE0D8C"/>
    <w:rsid w:val="00BE5518"/>
    <w:rsid w:val="00BE5D37"/>
    <w:rsid w:val="00BE5FF3"/>
    <w:rsid w:val="00BE69AF"/>
    <w:rsid w:val="00BF49C8"/>
    <w:rsid w:val="00BF7DD6"/>
    <w:rsid w:val="00C05445"/>
    <w:rsid w:val="00C10EF6"/>
    <w:rsid w:val="00C2407A"/>
    <w:rsid w:val="00C33194"/>
    <w:rsid w:val="00C44102"/>
    <w:rsid w:val="00C47432"/>
    <w:rsid w:val="00C608E7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2113B"/>
    <w:rsid w:val="00D3552A"/>
    <w:rsid w:val="00D40BBD"/>
    <w:rsid w:val="00D46DB8"/>
    <w:rsid w:val="00D52AAE"/>
    <w:rsid w:val="00D55F7C"/>
    <w:rsid w:val="00D5633E"/>
    <w:rsid w:val="00D62A77"/>
    <w:rsid w:val="00D62FFB"/>
    <w:rsid w:val="00D63014"/>
    <w:rsid w:val="00D6344A"/>
    <w:rsid w:val="00D63A85"/>
    <w:rsid w:val="00D71C0F"/>
    <w:rsid w:val="00D77002"/>
    <w:rsid w:val="00DB4312"/>
    <w:rsid w:val="00DC27C3"/>
    <w:rsid w:val="00DC726E"/>
    <w:rsid w:val="00DC739B"/>
    <w:rsid w:val="00DF0BB7"/>
    <w:rsid w:val="00DF22B0"/>
    <w:rsid w:val="00DF52CD"/>
    <w:rsid w:val="00E014A8"/>
    <w:rsid w:val="00E051B5"/>
    <w:rsid w:val="00E07456"/>
    <w:rsid w:val="00E1215A"/>
    <w:rsid w:val="00E17FBF"/>
    <w:rsid w:val="00E20DC4"/>
    <w:rsid w:val="00E22FBD"/>
    <w:rsid w:val="00E23764"/>
    <w:rsid w:val="00E279A5"/>
    <w:rsid w:val="00E3602C"/>
    <w:rsid w:val="00E431C2"/>
    <w:rsid w:val="00E458DD"/>
    <w:rsid w:val="00E63B9E"/>
    <w:rsid w:val="00E67873"/>
    <w:rsid w:val="00E720F6"/>
    <w:rsid w:val="00E8770F"/>
    <w:rsid w:val="00E913C3"/>
    <w:rsid w:val="00EA008A"/>
    <w:rsid w:val="00EB12D1"/>
    <w:rsid w:val="00EB4EAF"/>
    <w:rsid w:val="00EB75DE"/>
    <w:rsid w:val="00EB7DA2"/>
    <w:rsid w:val="00EC0182"/>
    <w:rsid w:val="00ED0570"/>
    <w:rsid w:val="00ED07D7"/>
    <w:rsid w:val="00EE4B5E"/>
    <w:rsid w:val="00EE781C"/>
    <w:rsid w:val="00F007B7"/>
    <w:rsid w:val="00F14E53"/>
    <w:rsid w:val="00F161B8"/>
    <w:rsid w:val="00F25286"/>
    <w:rsid w:val="00F35F78"/>
    <w:rsid w:val="00F37F5C"/>
    <w:rsid w:val="00F44A33"/>
    <w:rsid w:val="00F54CE7"/>
    <w:rsid w:val="00F57F85"/>
    <w:rsid w:val="00F6025E"/>
    <w:rsid w:val="00F611AB"/>
    <w:rsid w:val="00F648D0"/>
    <w:rsid w:val="00F664A7"/>
    <w:rsid w:val="00F67003"/>
    <w:rsid w:val="00F6742B"/>
    <w:rsid w:val="00F77BFB"/>
    <w:rsid w:val="00F80DBE"/>
    <w:rsid w:val="00F84729"/>
    <w:rsid w:val="00F86F09"/>
    <w:rsid w:val="00F9412D"/>
    <w:rsid w:val="00FA7D96"/>
    <w:rsid w:val="00FB67A8"/>
    <w:rsid w:val="00FC529D"/>
    <w:rsid w:val="00FD03E3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99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54C4A-65FD-4D11-A016-0AD0FEF4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3418</Words>
  <Characters>19489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20</cp:revision>
  <cp:lastPrinted>2016-11-24T08:53:00Z</cp:lastPrinted>
  <dcterms:created xsi:type="dcterms:W3CDTF">2016-09-30T03:00:00Z</dcterms:created>
  <dcterms:modified xsi:type="dcterms:W3CDTF">2016-12-02T07:14:00Z</dcterms:modified>
</cp:coreProperties>
</file>