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E48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="00654694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382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079</w:t>
            </w:r>
            <w:r w:rsidR="004F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890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 </w:t>
            </w:r>
            <w:r w:rsidR="007A26DA">
              <w:rPr>
                <w:rFonts w:ascii="Times New Roman" w:hAnsi="Times New Roman"/>
                <w:sz w:val="24"/>
                <w:szCs w:val="24"/>
              </w:rPr>
              <w:t>766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</w:t>
            </w:r>
            <w:r w:rsidR="007A26DA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890</w:t>
            </w:r>
            <w:r w:rsidR="004F3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766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26DA">
              <w:rPr>
                <w:rFonts w:ascii="Times New Roman" w:hAnsi="Times New Roman" w:cs="Times New Roman"/>
                <w:sz w:val="24"/>
                <w:szCs w:val="24"/>
              </w:rPr>
              <w:t>3 188 948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26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/>
                <w:sz w:val="24"/>
                <w:szCs w:val="24"/>
              </w:rPr>
              <w:t>20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619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852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/>
                <w:sz w:val="24"/>
                <w:szCs w:val="24"/>
              </w:rPr>
              <w:t xml:space="preserve">63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21 284 548,00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</w:t>
            </w:r>
            <w:r w:rsidR="00B046A8">
              <w:rPr>
                <w:rFonts w:ascii="Times New Roman" w:hAnsi="Times New Roman"/>
                <w:sz w:val="24"/>
                <w:szCs w:val="24"/>
              </w:rPr>
              <w:t>8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4 548,00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BE48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г.Железногорск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г. Железногорск, </w:t>
      </w:r>
      <w:proofErr w:type="spellStart"/>
      <w:r w:rsidRPr="00CD52C6">
        <w:rPr>
          <w:sz w:val="28"/>
          <w:szCs w:val="28"/>
        </w:rPr>
        <w:t>пр</w:t>
      </w:r>
      <w:r w:rsidR="00FF38E6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г.Железногорск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</w:t>
      </w:r>
      <w:r w:rsidR="0071640B">
        <w:rPr>
          <w:sz w:val="28"/>
          <w:szCs w:val="28"/>
        </w:rPr>
        <w:t>БУ</w:t>
      </w:r>
      <w:r w:rsidR="00CD52C6"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>В целях оперативного управления создана оперативная группа КЧС и ПБ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lastRenderedPageBreak/>
        <w:t>территории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средств предприятий, организаций.</w:t>
      </w:r>
    </w:p>
    <w:p w:rsidR="00382712" w:rsidRDefault="00382712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2712">
        <w:rPr>
          <w:rFonts w:ascii="Times New Roman" w:hAnsi="Times New Roman"/>
          <w:sz w:val="28"/>
          <w:szCs w:val="28"/>
        </w:rPr>
        <w:t>Согласно решения Совета депутатов ЗАТО г. Железногорск от 15.12.2015 № 5-17Р «О бюджете ЗАТО Железногорск на 2016 год и плановый период 2017-2019 годов» резервный фонд Администрации ЗАТО                    г. Железногорск по состоянию на 2016 год составляет 1200801 рубль.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г.Железногорск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согласно норм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(проводимых под руководством председателя КЧС и ПБ ЗАТО Железногорс</w:t>
      </w:r>
      <w:r w:rsidR="0071640B">
        <w:rPr>
          <w:sz w:val="28"/>
          <w:szCs w:val="28"/>
        </w:rPr>
        <w:t>к)</w:t>
      </w:r>
      <w:r w:rsidRPr="00550C2E">
        <w:rPr>
          <w:sz w:val="28"/>
          <w:szCs w:val="28"/>
        </w:rPr>
        <w:t>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D33EFD">
      <w:pPr>
        <w:pStyle w:val="2"/>
        <w:widowControl w:val="0"/>
        <w:spacing w:after="0" w:line="240" w:lineRule="auto"/>
        <w:ind w:left="0" w:firstLine="709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E481C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E481C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71640B">
        <w:rPr>
          <w:sz w:val="28"/>
          <w:szCs w:val="28"/>
        </w:rPr>
        <w:t xml:space="preserve"> 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71640B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71640B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>Управление подпрограммой и контроль за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>и к</w:t>
      </w:r>
      <w:r w:rsidR="005749E1" w:rsidRPr="009A234C">
        <w:rPr>
          <w:sz w:val="28"/>
          <w:szCs w:val="28"/>
        </w:rPr>
        <w:t xml:space="preserve">онтроль за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71640B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1640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непосредственный контроль за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B750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населения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бюджет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079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715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64 079 715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бюджет: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C597F">
        <w:rPr>
          <w:rFonts w:ascii="Times New Roman" w:hAnsi="Times New Roman" w:cs="Times New Roman"/>
          <w:sz w:val="28"/>
          <w:szCs w:val="28"/>
        </w:rPr>
        <w:t>890 766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48D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2016 год –  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890 766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год – 0,00 рублей </w:t>
      </w:r>
    </w:p>
    <w:p w:rsidR="00A07212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 –  0,0 рублей.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C597F">
        <w:rPr>
          <w:rFonts w:ascii="Times New Roman" w:hAnsi="Times New Roman" w:cs="Times New Roman"/>
          <w:sz w:val="28"/>
          <w:szCs w:val="28"/>
        </w:rPr>
        <w:t>63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2C597F">
        <w:rPr>
          <w:rFonts w:ascii="Times New Roman" w:hAnsi="Times New Roman" w:cs="Times New Roman"/>
          <w:sz w:val="28"/>
          <w:szCs w:val="28"/>
        </w:rPr>
        <w:t>188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2C597F">
        <w:rPr>
          <w:rFonts w:ascii="Times New Roman" w:hAnsi="Times New Roman" w:cs="Times New Roman"/>
          <w:sz w:val="28"/>
          <w:szCs w:val="28"/>
        </w:rPr>
        <w:t>948</w:t>
      </w:r>
      <w:r w:rsidR="00BE481C">
        <w:rPr>
          <w:rFonts w:ascii="Times New Roman" w:hAnsi="Times New Roman" w:cs="Times New Roman"/>
          <w:sz w:val="28"/>
          <w:szCs w:val="28"/>
        </w:rPr>
        <w:t>,</w:t>
      </w:r>
      <w:r w:rsidR="002341B2">
        <w:rPr>
          <w:rFonts w:ascii="Times New Roman" w:hAnsi="Times New Roman" w:cs="Times New Roman"/>
          <w:sz w:val="28"/>
          <w:szCs w:val="28"/>
        </w:rPr>
        <w:t>63</w:t>
      </w:r>
      <w:r w:rsidR="00BE4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41B2">
        <w:rPr>
          <w:rFonts w:ascii="Times New Roman" w:eastAsia="Times New Roman" w:hAnsi="Times New Roman" w:cs="Times New Roman"/>
          <w:sz w:val="28"/>
          <w:szCs w:val="28"/>
        </w:rPr>
        <w:t>0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619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852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1B2">
        <w:rPr>
          <w:rFonts w:ascii="Times New Roman" w:eastAsia="Times New Roman" w:hAnsi="Times New Roman" w:cs="Times New Roman"/>
          <w:sz w:val="28"/>
          <w:szCs w:val="28"/>
        </w:rPr>
        <w:t>63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7420F1">
        <w:tc>
          <w:tcPr>
            <w:tcW w:w="3163" w:type="pct"/>
          </w:tcPr>
          <w:p w:rsidR="00CF08B2" w:rsidRDefault="00944D06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CF08B2" w:rsidRDefault="00CF08B2" w:rsidP="0094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944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944D06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73" w:rsidRDefault="00461E73" w:rsidP="00D33EFD">
      <w:pPr>
        <w:spacing w:after="0" w:line="240" w:lineRule="auto"/>
      </w:pPr>
      <w:r>
        <w:separator/>
      </w:r>
    </w:p>
  </w:endnote>
  <w:endnote w:type="continuationSeparator" w:id="0">
    <w:p w:rsidR="00461E73" w:rsidRDefault="00461E73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73" w:rsidRDefault="00461E73" w:rsidP="00D33EFD">
      <w:pPr>
        <w:spacing w:after="0" w:line="240" w:lineRule="auto"/>
      </w:pPr>
      <w:r>
        <w:separator/>
      </w:r>
    </w:p>
  </w:footnote>
  <w:footnote w:type="continuationSeparator" w:id="0">
    <w:p w:rsidR="00461E73" w:rsidRDefault="00461E73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9A5A95">
        <w:pPr>
          <w:pStyle w:val="af"/>
        </w:pPr>
        <w:fldSimple w:instr=" PAGE   \* MERGEFORMAT ">
          <w:r w:rsidR="004E0D92">
            <w:rPr>
              <w:noProof/>
            </w:rPr>
            <w:t>9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0DED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1DF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57B8"/>
    <w:rsid w:val="001765E8"/>
    <w:rsid w:val="001771E4"/>
    <w:rsid w:val="00177A37"/>
    <w:rsid w:val="00182CCD"/>
    <w:rsid w:val="00184F4E"/>
    <w:rsid w:val="00185444"/>
    <w:rsid w:val="00187D9E"/>
    <w:rsid w:val="00190EED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2A3"/>
    <w:rsid w:val="001D6A0D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766A"/>
    <w:rsid w:val="00227F68"/>
    <w:rsid w:val="002321C8"/>
    <w:rsid w:val="002334F2"/>
    <w:rsid w:val="002341B2"/>
    <w:rsid w:val="00235984"/>
    <w:rsid w:val="00236D2C"/>
    <w:rsid w:val="00243469"/>
    <w:rsid w:val="00244E4B"/>
    <w:rsid w:val="002476FD"/>
    <w:rsid w:val="002505DB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97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85B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712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1E73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382"/>
    <w:rsid w:val="004C2896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0D92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48D3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4694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6CE2"/>
    <w:rsid w:val="007129E5"/>
    <w:rsid w:val="00713C1B"/>
    <w:rsid w:val="00713DF1"/>
    <w:rsid w:val="0071640B"/>
    <w:rsid w:val="007174EA"/>
    <w:rsid w:val="0072349A"/>
    <w:rsid w:val="00723A7C"/>
    <w:rsid w:val="00723FE8"/>
    <w:rsid w:val="00727999"/>
    <w:rsid w:val="0073254E"/>
    <w:rsid w:val="0073300A"/>
    <w:rsid w:val="00733EE6"/>
    <w:rsid w:val="0074040D"/>
    <w:rsid w:val="00740E31"/>
    <w:rsid w:val="00741586"/>
    <w:rsid w:val="00741AF6"/>
    <w:rsid w:val="00741EC4"/>
    <w:rsid w:val="007420F1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77E2C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26DA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20782"/>
    <w:rsid w:val="0082080C"/>
    <w:rsid w:val="00822848"/>
    <w:rsid w:val="00822C9C"/>
    <w:rsid w:val="0082385D"/>
    <w:rsid w:val="00823B0E"/>
    <w:rsid w:val="008250B2"/>
    <w:rsid w:val="00827650"/>
    <w:rsid w:val="0083176D"/>
    <w:rsid w:val="00834EDF"/>
    <w:rsid w:val="00835411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4D06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5A95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3A82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2E98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7CE9C-08A8-44AD-B045-46AB471D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2016-11-29T08:27:00Z</cp:lastPrinted>
  <dcterms:created xsi:type="dcterms:W3CDTF">2016-12-11T05:19:00Z</dcterms:created>
  <dcterms:modified xsi:type="dcterms:W3CDTF">2016-12-11T05:19:00Z</dcterms:modified>
</cp:coreProperties>
</file>