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606D3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="00606D3E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606D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606D3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E6258C">
        <w:rPr>
          <w:rFonts w:ascii="Times New Roman" w:hAnsi="Times New Roman" w:cs="Times New Roman"/>
          <w:sz w:val="24"/>
          <w:szCs w:val="24"/>
        </w:rPr>
        <w:t xml:space="preserve">662971, Красноярский край, </w:t>
      </w:r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елезногорск, ул. </w:t>
      </w:r>
      <w:r w:rsidR="00FD32F5">
        <w:rPr>
          <w:rFonts w:ascii="Times New Roman" w:hAnsi="Times New Roman" w:cs="Times New Roman"/>
          <w:sz w:val="24"/>
          <w:szCs w:val="24"/>
        </w:rPr>
        <w:t>22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На основании решения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</w:t>
      </w:r>
      <w:r w:rsidR="008B67CE">
        <w:rPr>
          <w:rFonts w:ascii="Times New Roman" w:hAnsi="Times New Roman" w:cs="Times New Roman"/>
          <w:sz w:val="24"/>
          <w:szCs w:val="24"/>
        </w:rPr>
        <w:t>16 января 2018</w:t>
      </w:r>
      <w:r w:rsidR="00A250A0">
        <w:rPr>
          <w:rFonts w:ascii="Times New Roman" w:hAnsi="Times New Roman" w:cs="Times New Roman"/>
          <w:sz w:val="24"/>
          <w:szCs w:val="24"/>
        </w:rPr>
        <w:t xml:space="preserve">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8B67CE">
        <w:rPr>
          <w:rFonts w:ascii="Times New Roman" w:hAnsi="Times New Roman" w:cs="Times New Roman"/>
          <w:sz w:val="24"/>
          <w:szCs w:val="24"/>
        </w:rPr>
        <w:t>28-107Р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(п.</w:t>
      </w:r>
      <w:r w:rsidR="008B67CE">
        <w:rPr>
          <w:rFonts w:ascii="Times New Roman" w:hAnsi="Times New Roman" w:cs="Times New Roman"/>
          <w:sz w:val="24"/>
          <w:szCs w:val="24"/>
        </w:rPr>
        <w:t>1</w:t>
      </w:r>
      <w:r w:rsidR="008C6F84" w:rsidRPr="006D1BAC">
        <w:rPr>
          <w:rFonts w:ascii="Times New Roman" w:hAnsi="Times New Roman" w:cs="Times New Roman"/>
          <w:sz w:val="24"/>
          <w:szCs w:val="24"/>
        </w:rPr>
        <w:t>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Действует на основании Положения о </w:t>
      </w:r>
      <w:r w:rsidR="00407511">
        <w:rPr>
          <w:rFonts w:ascii="Times New Roman" w:hAnsi="Times New Roman" w:cs="Times New Roman"/>
          <w:sz w:val="24"/>
          <w:szCs w:val="24"/>
        </w:rPr>
        <w:t>Ф</w:t>
      </w:r>
      <w:r w:rsidRPr="006D1BAC">
        <w:rPr>
          <w:rFonts w:ascii="Times New Roman" w:hAnsi="Times New Roman" w:cs="Times New Roman"/>
          <w:sz w:val="24"/>
          <w:szCs w:val="24"/>
        </w:rPr>
        <w:t xml:space="preserve">инансовом управлении, утвержденного решением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E6258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ешения Совета депутатов ЗАТО г. Железногорск от </w:t>
      </w:r>
      <w:r w:rsidR="00407511">
        <w:rPr>
          <w:rFonts w:ascii="Times New Roman" w:hAnsi="Times New Roman" w:cs="Times New Roman"/>
          <w:sz w:val="24"/>
          <w:szCs w:val="24"/>
        </w:rPr>
        <w:t>17.12.2020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4-35Р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407511">
        <w:rPr>
          <w:rFonts w:ascii="Times New Roman" w:hAnsi="Times New Roman" w:cs="Times New Roman"/>
          <w:sz w:val="24"/>
          <w:szCs w:val="24"/>
        </w:rPr>
        <w:t xml:space="preserve">: </w:t>
      </w:r>
      <w:r w:rsidR="003857B5" w:rsidRPr="006D1BAC">
        <w:rPr>
          <w:rFonts w:ascii="Times New Roman" w:hAnsi="Times New Roman" w:cs="Times New Roman"/>
          <w:sz w:val="24"/>
          <w:szCs w:val="24"/>
        </w:rPr>
        <w:t>бюджетный отдел</w:t>
      </w:r>
      <w:r w:rsidR="00407511">
        <w:rPr>
          <w:rFonts w:ascii="Times New Roman" w:hAnsi="Times New Roman" w:cs="Times New Roman"/>
          <w:sz w:val="24"/>
          <w:szCs w:val="24"/>
        </w:rPr>
        <w:t xml:space="preserve"> и отдел исполнения бюджета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407511">
        <w:rPr>
          <w:rFonts w:ascii="Times New Roman" w:hAnsi="Times New Roman" w:cs="Times New Roman"/>
          <w:sz w:val="24"/>
          <w:szCs w:val="24"/>
        </w:rPr>
        <w:t>О</w:t>
      </w:r>
      <w:r w:rsidR="00E279B6">
        <w:rPr>
          <w:rFonts w:ascii="Times New Roman" w:hAnsi="Times New Roman" w:cs="Times New Roman"/>
          <w:sz w:val="24"/>
          <w:szCs w:val="24"/>
        </w:rPr>
        <w:t>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07511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3857B5" w:rsidRPr="006D1BAC">
        <w:rPr>
          <w:rFonts w:ascii="Times New Roman" w:hAnsi="Times New Roman" w:cs="Times New Roman"/>
          <w:sz w:val="24"/>
          <w:szCs w:val="24"/>
        </w:rPr>
        <w:t>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 xml:space="preserve">а, бюджетный </w:t>
      </w:r>
      <w:r w:rsidR="00E6258C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279B6">
        <w:rPr>
          <w:rFonts w:ascii="Times New Roman" w:hAnsi="Times New Roman" w:cs="Times New Roman"/>
          <w:sz w:val="24"/>
          <w:szCs w:val="24"/>
        </w:rPr>
        <w:t>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DC297F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C3C">
        <w:rPr>
          <w:rFonts w:ascii="Times New Roman" w:hAnsi="Times New Roman" w:cs="Times New Roman"/>
          <w:sz w:val="24"/>
          <w:szCs w:val="24"/>
        </w:rPr>
        <w:t>В со</w:t>
      </w:r>
      <w:r w:rsidR="00F81C66" w:rsidRPr="00245C3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 w:rsidRPr="00245C3C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245C3C">
        <w:rPr>
          <w:rFonts w:ascii="Times New Roman" w:hAnsi="Times New Roman" w:cs="Times New Roman"/>
          <w:sz w:val="24"/>
          <w:szCs w:val="24"/>
        </w:rPr>
        <w:t>Решени</w:t>
      </w:r>
      <w:r w:rsidR="00E03005" w:rsidRPr="00245C3C">
        <w:rPr>
          <w:rFonts w:ascii="Times New Roman" w:hAnsi="Times New Roman" w:cs="Times New Roman"/>
          <w:sz w:val="24"/>
          <w:szCs w:val="24"/>
        </w:rPr>
        <w:t>ем</w:t>
      </w:r>
      <w:r w:rsidR="008C6F84" w:rsidRPr="00245C3C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gramStart"/>
      <w:r w:rsidR="008C6F84" w:rsidRPr="00245C3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8C6F84" w:rsidRPr="00245C3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7269B4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8C6F84" w:rsidRPr="00245C3C">
        <w:rPr>
          <w:rFonts w:ascii="Times New Roman" w:hAnsi="Times New Roman" w:cs="Times New Roman"/>
          <w:sz w:val="24"/>
          <w:szCs w:val="24"/>
        </w:rPr>
        <w:t>Железногорск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от </w:t>
      </w:r>
      <w:r w:rsidR="00407511" w:rsidRPr="00245C3C">
        <w:rPr>
          <w:rFonts w:ascii="Times New Roman" w:hAnsi="Times New Roman" w:cs="Times New Roman"/>
          <w:sz w:val="24"/>
          <w:szCs w:val="24"/>
        </w:rPr>
        <w:t>1</w:t>
      </w:r>
      <w:r w:rsidR="00245C3C" w:rsidRPr="00245C3C">
        <w:rPr>
          <w:rFonts w:ascii="Times New Roman" w:hAnsi="Times New Roman" w:cs="Times New Roman"/>
          <w:sz w:val="24"/>
          <w:szCs w:val="24"/>
        </w:rPr>
        <w:t>5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30D32" w:rsidRPr="00245C3C">
        <w:rPr>
          <w:rFonts w:ascii="Times New Roman" w:hAnsi="Times New Roman" w:cs="Times New Roman"/>
          <w:sz w:val="24"/>
          <w:szCs w:val="24"/>
        </w:rPr>
        <w:t>2</w:t>
      </w:r>
      <w:r w:rsidR="00245C3C" w:rsidRPr="00245C3C">
        <w:rPr>
          <w:rFonts w:ascii="Times New Roman" w:hAnsi="Times New Roman" w:cs="Times New Roman"/>
          <w:sz w:val="24"/>
          <w:szCs w:val="24"/>
        </w:rPr>
        <w:t>2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 г. №</w:t>
      </w:r>
      <w:r w:rsidR="00407511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245C3C" w:rsidRPr="00245C3C">
        <w:rPr>
          <w:rFonts w:ascii="Times New Roman" w:hAnsi="Times New Roman" w:cs="Times New Roman"/>
          <w:sz w:val="24"/>
          <w:szCs w:val="24"/>
        </w:rPr>
        <w:t>2</w:t>
      </w:r>
      <w:r w:rsidR="00F533EB" w:rsidRPr="00245C3C">
        <w:rPr>
          <w:rFonts w:ascii="Times New Roman" w:hAnsi="Times New Roman" w:cs="Times New Roman"/>
          <w:sz w:val="24"/>
          <w:szCs w:val="24"/>
        </w:rPr>
        <w:t>3-</w:t>
      </w:r>
      <w:r w:rsidR="00245C3C" w:rsidRPr="00245C3C">
        <w:rPr>
          <w:rFonts w:ascii="Times New Roman" w:hAnsi="Times New Roman" w:cs="Times New Roman"/>
          <w:sz w:val="24"/>
          <w:szCs w:val="24"/>
        </w:rPr>
        <w:t>289</w:t>
      </w:r>
      <w:r w:rsidR="00F533EB" w:rsidRPr="00245C3C">
        <w:rPr>
          <w:rFonts w:ascii="Times New Roman" w:hAnsi="Times New Roman" w:cs="Times New Roman"/>
          <w:sz w:val="24"/>
          <w:szCs w:val="24"/>
        </w:rPr>
        <w:t>Р</w:t>
      </w:r>
      <w:r w:rsidR="0071045A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245C3C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245C3C">
        <w:rPr>
          <w:rFonts w:ascii="Times New Roman" w:hAnsi="Times New Roman" w:cs="Times New Roman"/>
          <w:sz w:val="24"/>
          <w:szCs w:val="24"/>
        </w:rPr>
        <w:t>орск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на 20</w:t>
      </w:r>
      <w:r w:rsidR="00407511" w:rsidRPr="00245C3C">
        <w:rPr>
          <w:rFonts w:ascii="Times New Roman" w:hAnsi="Times New Roman" w:cs="Times New Roman"/>
          <w:sz w:val="24"/>
          <w:szCs w:val="24"/>
        </w:rPr>
        <w:t>2</w:t>
      </w:r>
      <w:r w:rsidR="00245C3C" w:rsidRPr="00245C3C">
        <w:rPr>
          <w:rFonts w:ascii="Times New Roman" w:hAnsi="Times New Roman" w:cs="Times New Roman"/>
          <w:sz w:val="24"/>
          <w:szCs w:val="24"/>
        </w:rPr>
        <w:t>3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 w:rsidRPr="00245C3C">
        <w:rPr>
          <w:rFonts w:ascii="Times New Roman" w:hAnsi="Times New Roman" w:cs="Times New Roman"/>
          <w:sz w:val="24"/>
          <w:szCs w:val="24"/>
        </w:rPr>
        <w:t>20</w:t>
      </w:r>
      <w:r w:rsidR="005B1035" w:rsidRPr="00245C3C">
        <w:rPr>
          <w:rFonts w:ascii="Times New Roman" w:hAnsi="Times New Roman" w:cs="Times New Roman"/>
          <w:sz w:val="24"/>
          <w:szCs w:val="24"/>
        </w:rPr>
        <w:t>2</w:t>
      </w:r>
      <w:r w:rsidR="00245C3C" w:rsidRPr="00245C3C">
        <w:rPr>
          <w:rFonts w:ascii="Times New Roman" w:hAnsi="Times New Roman" w:cs="Times New Roman"/>
          <w:sz w:val="24"/>
          <w:szCs w:val="24"/>
        </w:rPr>
        <w:t>4</w:t>
      </w:r>
      <w:r w:rsidR="00F37803" w:rsidRPr="00245C3C">
        <w:rPr>
          <w:rFonts w:ascii="Times New Roman" w:hAnsi="Times New Roman" w:cs="Times New Roman"/>
          <w:sz w:val="24"/>
          <w:szCs w:val="24"/>
        </w:rPr>
        <w:t>-202</w:t>
      </w:r>
      <w:r w:rsidR="00245C3C" w:rsidRPr="00245C3C">
        <w:rPr>
          <w:rFonts w:ascii="Times New Roman" w:hAnsi="Times New Roman" w:cs="Times New Roman"/>
          <w:sz w:val="24"/>
          <w:szCs w:val="24"/>
        </w:rPr>
        <w:t>5</w:t>
      </w:r>
      <w:r w:rsidRPr="00245C3C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245C3C">
        <w:rPr>
          <w:rFonts w:ascii="Times New Roman" w:hAnsi="Times New Roman" w:cs="Times New Roman"/>
          <w:sz w:val="24"/>
          <w:szCs w:val="24"/>
        </w:rPr>
        <w:t>ов</w:t>
      </w:r>
      <w:r w:rsidRPr="00245C3C">
        <w:rPr>
          <w:rFonts w:ascii="Times New Roman" w:hAnsi="Times New Roman" w:cs="Times New Roman"/>
          <w:sz w:val="24"/>
          <w:szCs w:val="24"/>
        </w:rPr>
        <w:t>»</w:t>
      </w:r>
      <w:r w:rsidRPr="00DC297F">
        <w:rPr>
          <w:rFonts w:ascii="Times New Roman" w:hAnsi="Times New Roman" w:cs="Times New Roman"/>
          <w:sz w:val="24"/>
          <w:szCs w:val="24"/>
        </w:rPr>
        <w:t>,</w:t>
      </w:r>
      <w:r w:rsidRPr="00606D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269B4" w:rsidRPr="00DC297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ЗАТО г. Железногорск от 26 ноября 2021 г. № 2254 «Об утверждении перечня главных администраторов доходов бюджета ЗАТО Железногорск, порядка и сроков внесения изменений в перечень главных администраторов доходов бюджета ЗАТО Железногорск», Постановлением </w:t>
      </w:r>
      <w:proofErr w:type="gramStart"/>
      <w:r w:rsidR="007269B4" w:rsidRPr="00DC297F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7269B4" w:rsidRPr="00DC297F">
        <w:rPr>
          <w:rFonts w:ascii="Times New Roman" w:hAnsi="Times New Roman" w:cs="Times New Roman"/>
          <w:sz w:val="24"/>
          <w:szCs w:val="24"/>
        </w:rPr>
        <w:t xml:space="preserve"> ЗАТО г. Железногорск от 26 ноября 2021 г. № 2255 «Об утверждении перечня главных администраторов источников внутреннего финансирования дефицита бюджета ЗАТО Железногорск, Порядка и сроков внесения изменений в перечень главных администраторов источников внутреннего финансирования дефицита бюджета ЗАТО Железногорск» </w:t>
      </w:r>
      <w:r w:rsidRPr="00DC297F">
        <w:rPr>
          <w:rFonts w:ascii="Times New Roman" w:hAnsi="Times New Roman" w:cs="Times New Roman"/>
          <w:sz w:val="24"/>
          <w:szCs w:val="24"/>
        </w:rPr>
        <w:t xml:space="preserve">Финансовое управление наделено полномочиями главного </w:t>
      </w:r>
      <w:r w:rsidR="00687DFC" w:rsidRPr="00DC297F">
        <w:rPr>
          <w:rFonts w:ascii="Times New Roman" w:hAnsi="Times New Roman" w:cs="Times New Roman"/>
          <w:sz w:val="24"/>
          <w:szCs w:val="24"/>
        </w:rPr>
        <w:t xml:space="preserve">распорядителя бюджетных средств, главного администратора доходов </w:t>
      </w:r>
      <w:r w:rsidR="00F30D32" w:rsidRPr="00DC297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687DFC" w:rsidRPr="00DC297F">
        <w:rPr>
          <w:rFonts w:ascii="Times New Roman" w:hAnsi="Times New Roman" w:cs="Times New Roman"/>
          <w:sz w:val="24"/>
          <w:szCs w:val="24"/>
        </w:rPr>
        <w:t>бюджета</w:t>
      </w:r>
      <w:r w:rsidR="00F81267" w:rsidRPr="00DC297F">
        <w:rPr>
          <w:rFonts w:ascii="Times New Roman" w:hAnsi="Times New Roman" w:cs="Times New Roman"/>
          <w:sz w:val="24"/>
          <w:szCs w:val="24"/>
        </w:rPr>
        <w:t xml:space="preserve">, главного администратора источников внутреннего финансирования дефицита местного бюджета. 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отдела </w:t>
      </w:r>
      <w:r w:rsidR="00AA00F4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D23E73" w:rsidRDefault="00FC1825" w:rsidP="00D23E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балансе учреждения числятся основные средства: на начало года на сумму</w:t>
      </w:r>
    </w:p>
    <w:p w:rsidR="00EF74EB" w:rsidRDefault="00D23E73" w:rsidP="00D23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C297F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97F">
        <w:rPr>
          <w:rFonts w:ascii="Times New Roman" w:hAnsi="Times New Roman" w:cs="Times New Roman"/>
          <w:sz w:val="24"/>
          <w:szCs w:val="24"/>
        </w:rPr>
        <w:t>161</w:t>
      </w:r>
      <w:r w:rsidR="00F533EB">
        <w:rPr>
          <w:rFonts w:ascii="Times New Roman" w:hAnsi="Times New Roman" w:cs="Times New Roman"/>
          <w:sz w:val="24"/>
          <w:szCs w:val="24"/>
        </w:rPr>
        <w:t xml:space="preserve">,11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рублей, на конец года –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="00F533EB">
        <w:rPr>
          <w:rFonts w:ascii="Times New Roman" w:hAnsi="Times New Roman" w:cs="Times New Roman"/>
          <w:sz w:val="24"/>
          <w:szCs w:val="24"/>
        </w:rPr>
        <w:t>94</w:t>
      </w:r>
      <w:r w:rsidR="00DC297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97F">
        <w:rPr>
          <w:rFonts w:ascii="Times New Roman" w:hAnsi="Times New Roman" w:cs="Times New Roman"/>
          <w:sz w:val="24"/>
          <w:szCs w:val="24"/>
        </w:rPr>
        <w:t>926,</w:t>
      </w:r>
      <w:r w:rsidR="00F533EB">
        <w:rPr>
          <w:rFonts w:ascii="Times New Roman" w:hAnsi="Times New Roman" w:cs="Times New Roman"/>
          <w:sz w:val="24"/>
          <w:szCs w:val="24"/>
        </w:rPr>
        <w:t>11</w:t>
      </w:r>
      <w:r w:rsidR="00EF74EB">
        <w:rPr>
          <w:rFonts w:ascii="Times New Roman" w:hAnsi="Times New Roman" w:cs="Times New Roman"/>
          <w:sz w:val="24"/>
          <w:szCs w:val="24"/>
        </w:rPr>
        <w:t xml:space="preserve">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292C27">
        <w:rPr>
          <w:rFonts w:ascii="Times New Roman" w:hAnsi="Times New Roman" w:cs="Times New Roman"/>
          <w:sz w:val="24"/>
          <w:szCs w:val="24"/>
        </w:rPr>
        <w:t xml:space="preserve">. </w:t>
      </w:r>
      <w:r w:rsidR="00F533EB">
        <w:rPr>
          <w:rFonts w:ascii="Times New Roman" w:hAnsi="Times New Roman" w:cs="Times New Roman"/>
          <w:sz w:val="24"/>
          <w:szCs w:val="24"/>
        </w:rPr>
        <w:t>Увеличение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 стоимости основных средств </w:t>
      </w:r>
      <w:r w:rsidR="00E6258C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E106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60E">
        <w:rPr>
          <w:rFonts w:ascii="Times New Roman" w:hAnsi="Times New Roman" w:cs="Times New Roman"/>
          <w:sz w:val="24"/>
          <w:szCs w:val="24"/>
        </w:rPr>
        <w:t>765</w:t>
      </w:r>
      <w:r w:rsidR="00F533EB">
        <w:rPr>
          <w:rFonts w:ascii="Times New Roman" w:hAnsi="Times New Roman" w:cs="Times New Roman"/>
          <w:sz w:val="24"/>
          <w:szCs w:val="24"/>
        </w:rPr>
        <w:t>,00</w:t>
      </w:r>
      <w:r w:rsidR="0012320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="00F533EB">
        <w:rPr>
          <w:rFonts w:ascii="Times New Roman" w:hAnsi="Times New Roman" w:cs="Times New Roman"/>
          <w:sz w:val="24"/>
          <w:szCs w:val="24"/>
        </w:rPr>
        <w:t xml:space="preserve">в результате обновления основных фондов, </w:t>
      </w:r>
      <w:r w:rsidR="00EF74EB">
        <w:rPr>
          <w:rFonts w:ascii="Times New Roman" w:hAnsi="Times New Roman" w:cs="Times New Roman"/>
          <w:sz w:val="24"/>
          <w:szCs w:val="24"/>
        </w:rPr>
        <w:t>был</w:t>
      </w:r>
      <w:r w:rsidR="00E1060E">
        <w:rPr>
          <w:rFonts w:ascii="Times New Roman" w:hAnsi="Times New Roman" w:cs="Times New Roman"/>
          <w:sz w:val="24"/>
          <w:szCs w:val="24"/>
        </w:rPr>
        <w:t>а</w:t>
      </w:r>
      <w:r w:rsidR="00EF74EB">
        <w:rPr>
          <w:rFonts w:ascii="Times New Roman" w:hAnsi="Times New Roman" w:cs="Times New Roman"/>
          <w:sz w:val="24"/>
          <w:szCs w:val="24"/>
        </w:rPr>
        <w:t xml:space="preserve"> </w:t>
      </w:r>
      <w:r w:rsidR="00E1060E">
        <w:rPr>
          <w:rFonts w:ascii="Times New Roman" w:hAnsi="Times New Roman" w:cs="Times New Roman"/>
          <w:sz w:val="24"/>
          <w:szCs w:val="24"/>
        </w:rPr>
        <w:t>приобретена</w:t>
      </w:r>
      <w:r w:rsidR="00EF74EB">
        <w:rPr>
          <w:rFonts w:ascii="Times New Roman" w:hAnsi="Times New Roman" w:cs="Times New Roman"/>
          <w:sz w:val="24"/>
          <w:szCs w:val="24"/>
        </w:rPr>
        <w:t xml:space="preserve"> новая мебель. Одновременно с этим пришедшая в негодность старая мебель была признана не соответствующей критериям актива и </w:t>
      </w:r>
      <w:r w:rsidR="00F30D32">
        <w:rPr>
          <w:rFonts w:ascii="Times New Roman" w:hAnsi="Times New Roman" w:cs="Times New Roman"/>
          <w:sz w:val="24"/>
          <w:szCs w:val="24"/>
        </w:rPr>
        <w:t>списан</w:t>
      </w:r>
      <w:r w:rsidR="00EF74EB">
        <w:rPr>
          <w:rFonts w:ascii="Times New Roman" w:hAnsi="Times New Roman" w:cs="Times New Roman"/>
          <w:sz w:val="24"/>
          <w:szCs w:val="24"/>
        </w:rPr>
        <w:t>а</w:t>
      </w:r>
      <w:r w:rsidR="00F30D32">
        <w:rPr>
          <w:rFonts w:ascii="Times New Roman" w:hAnsi="Times New Roman" w:cs="Times New Roman"/>
          <w:sz w:val="24"/>
          <w:szCs w:val="24"/>
        </w:rPr>
        <w:t xml:space="preserve"> на забалансовый счет 02.3</w:t>
      </w:r>
      <w:r w:rsidR="00546261">
        <w:rPr>
          <w:rFonts w:ascii="Times New Roman" w:hAnsi="Times New Roman" w:cs="Times New Roman"/>
          <w:sz w:val="24"/>
          <w:szCs w:val="24"/>
        </w:rPr>
        <w:t>,</w:t>
      </w:r>
      <w:r w:rsidR="00EF74EB">
        <w:rPr>
          <w:rFonts w:ascii="Times New Roman" w:hAnsi="Times New Roman" w:cs="Times New Roman"/>
          <w:sz w:val="24"/>
          <w:szCs w:val="24"/>
        </w:rPr>
        <w:t xml:space="preserve"> в дальнейшем она была передана в специализированную организацию для утилизации и списана с </w:t>
      </w:r>
      <w:proofErr w:type="spellStart"/>
      <w:r w:rsidR="00EF74EB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="00EF74EB">
        <w:rPr>
          <w:rFonts w:ascii="Times New Roman" w:hAnsi="Times New Roman" w:cs="Times New Roman"/>
          <w:sz w:val="24"/>
          <w:szCs w:val="24"/>
        </w:rPr>
        <w:t xml:space="preserve"> учета.</w:t>
      </w:r>
    </w:p>
    <w:p w:rsidR="00FC1825" w:rsidRDefault="00926F6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</w:t>
      </w:r>
      <w:r w:rsidR="00C16987">
        <w:rPr>
          <w:rFonts w:ascii="Times New Roman" w:hAnsi="Times New Roman" w:cs="Times New Roman"/>
          <w:sz w:val="24"/>
          <w:szCs w:val="24"/>
        </w:rPr>
        <w:t xml:space="preserve"> всего имущества </w:t>
      </w:r>
      <w:r w:rsidR="00FC1825" w:rsidRPr="006D1BAC">
        <w:rPr>
          <w:rFonts w:ascii="Times New Roman" w:hAnsi="Times New Roman" w:cs="Times New Roman"/>
          <w:sz w:val="24"/>
          <w:szCs w:val="24"/>
        </w:rPr>
        <w:t>состав</w:t>
      </w:r>
      <w:r w:rsidR="00A85604">
        <w:rPr>
          <w:rFonts w:ascii="Times New Roman" w:hAnsi="Times New Roman" w:cs="Times New Roman"/>
          <w:sz w:val="24"/>
          <w:szCs w:val="24"/>
        </w:rPr>
        <w:t>ила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F74EB">
        <w:rPr>
          <w:rFonts w:ascii="Times New Roman" w:hAnsi="Times New Roman" w:cs="Times New Roman"/>
          <w:sz w:val="24"/>
          <w:szCs w:val="24"/>
        </w:rPr>
        <w:t>94</w:t>
      </w:r>
      <w:r w:rsidR="00E1060E">
        <w:rPr>
          <w:rFonts w:ascii="Times New Roman" w:hAnsi="Times New Roman" w:cs="Times New Roman"/>
          <w:sz w:val="24"/>
          <w:szCs w:val="24"/>
        </w:rPr>
        <w:t>9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E1060E">
        <w:rPr>
          <w:rFonts w:ascii="Times New Roman" w:hAnsi="Times New Roman" w:cs="Times New Roman"/>
          <w:sz w:val="24"/>
          <w:szCs w:val="24"/>
        </w:rPr>
        <w:t>926</w:t>
      </w:r>
      <w:r w:rsidR="00EF74EB">
        <w:rPr>
          <w:rFonts w:ascii="Times New Roman" w:hAnsi="Times New Roman" w:cs="Times New Roman"/>
          <w:sz w:val="24"/>
          <w:szCs w:val="24"/>
        </w:rPr>
        <w:t xml:space="preserve">,11 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1B2858">
        <w:rPr>
          <w:rFonts w:ascii="Times New Roman" w:hAnsi="Times New Roman" w:cs="Times New Roman"/>
          <w:sz w:val="24"/>
          <w:szCs w:val="24"/>
        </w:rPr>
        <w:t>100</w:t>
      </w:r>
      <w:r w:rsidR="00FC1825" w:rsidRPr="006D1BAC">
        <w:rPr>
          <w:rFonts w:ascii="Times New Roman" w:hAnsi="Times New Roman" w:cs="Times New Roman"/>
          <w:sz w:val="24"/>
          <w:szCs w:val="24"/>
        </w:rPr>
        <w:t>% стоимости основных средств.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D23E73" w:rsidRDefault="00220FDC" w:rsidP="00C958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</w:t>
      </w:r>
      <w:r w:rsidR="0012320D">
        <w:rPr>
          <w:rFonts w:ascii="Times New Roman" w:hAnsi="Times New Roman" w:cs="Times New Roman"/>
          <w:sz w:val="24"/>
          <w:szCs w:val="24"/>
        </w:rPr>
        <w:t>2</w:t>
      </w:r>
      <w:r w:rsidR="00E1060E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E1060E">
        <w:rPr>
          <w:rFonts w:ascii="Times New Roman" w:hAnsi="Times New Roman" w:cs="Times New Roman"/>
          <w:sz w:val="24"/>
          <w:szCs w:val="24"/>
        </w:rPr>
        <w:t>3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E1060E">
        <w:rPr>
          <w:rFonts w:ascii="Times New Roman" w:hAnsi="Times New Roman" w:cs="Times New Roman"/>
          <w:sz w:val="24"/>
          <w:szCs w:val="24"/>
        </w:rPr>
        <w:t>158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E1060E">
        <w:rPr>
          <w:rFonts w:ascii="Times New Roman" w:hAnsi="Times New Roman" w:cs="Times New Roman"/>
          <w:sz w:val="24"/>
          <w:szCs w:val="24"/>
        </w:rPr>
        <w:t>827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E1060E">
        <w:rPr>
          <w:rFonts w:ascii="Times New Roman" w:hAnsi="Times New Roman" w:cs="Times New Roman"/>
          <w:sz w:val="24"/>
          <w:szCs w:val="24"/>
        </w:rPr>
        <w:t>321,66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D23E73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</w:p>
    <w:p w:rsidR="005B0DCD" w:rsidRDefault="00E1060E" w:rsidP="00D23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153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843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705,64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220FDC"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EF74E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</w:t>
      </w:r>
      <w:r w:rsidR="00EF74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84</w:t>
      </w:r>
      <w:r w:rsidR="00220FDC" w:rsidRPr="006D1BAC">
        <w:rPr>
          <w:rFonts w:ascii="Times New Roman" w:hAnsi="Times New Roman" w:cs="Times New Roman"/>
          <w:sz w:val="24"/>
          <w:szCs w:val="24"/>
        </w:rPr>
        <w:t xml:space="preserve">%).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2876C1">
        <w:rPr>
          <w:rFonts w:ascii="Times New Roman" w:hAnsi="Times New Roman" w:cs="Times New Roman"/>
          <w:sz w:val="24"/>
          <w:szCs w:val="24"/>
        </w:rPr>
        <w:t>утвержденных бюджетных назначений по расходам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52F58">
        <w:rPr>
          <w:rFonts w:ascii="Times New Roman" w:hAnsi="Times New Roman" w:cs="Times New Roman"/>
          <w:sz w:val="24"/>
          <w:szCs w:val="24"/>
        </w:rPr>
        <w:t>1</w:t>
      </w:r>
      <w:r w:rsidR="00E92DE7">
        <w:rPr>
          <w:rFonts w:ascii="Times New Roman" w:hAnsi="Times New Roman" w:cs="Times New Roman"/>
          <w:sz w:val="24"/>
          <w:szCs w:val="24"/>
        </w:rPr>
        <w:t>8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E92DE7">
        <w:rPr>
          <w:rFonts w:ascii="Times New Roman" w:hAnsi="Times New Roman" w:cs="Times New Roman"/>
          <w:sz w:val="24"/>
          <w:szCs w:val="24"/>
        </w:rPr>
        <w:t>073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E92DE7">
        <w:rPr>
          <w:rFonts w:ascii="Times New Roman" w:hAnsi="Times New Roman" w:cs="Times New Roman"/>
          <w:sz w:val="24"/>
          <w:szCs w:val="24"/>
        </w:rPr>
        <w:t>734</w:t>
      </w:r>
      <w:r w:rsidR="00352F58">
        <w:rPr>
          <w:rFonts w:ascii="Times New Roman" w:hAnsi="Times New Roman" w:cs="Times New Roman"/>
          <w:sz w:val="24"/>
          <w:szCs w:val="24"/>
        </w:rPr>
        <w:t>,85</w:t>
      </w:r>
      <w:r w:rsidR="00C958B2">
        <w:rPr>
          <w:rFonts w:ascii="Times New Roman" w:hAnsi="Times New Roman" w:cs="Times New Roman"/>
          <w:sz w:val="24"/>
          <w:szCs w:val="24"/>
        </w:rPr>
        <w:t xml:space="preserve"> 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52F58">
        <w:rPr>
          <w:rFonts w:ascii="Times New Roman" w:hAnsi="Times New Roman" w:cs="Times New Roman"/>
          <w:sz w:val="24"/>
          <w:szCs w:val="24"/>
        </w:rPr>
        <w:t>1</w:t>
      </w:r>
      <w:r w:rsidR="00E92DE7">
        <w:rPr>
          <w:rFonts w:ascii="Times New Roman" w:hAnsi="Times New Roman" w:cs="Times New Roman"/>
          <w:sz w:val="24"/>
          <w:szCs w:val="24"/>
        </w:rPr>
        <w:t>8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E92DE7">
        <w:rPr>
          <w:rFonts w:ascii="Times New Roman" w:hAnsi="Times New Roman" w:cs="Times New Roman"/>
          <w:sz w:val="24"/>
          <w:szCs w:val="24"/>
        </w:rPr>
        <w:t>072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E92DE7">
        <w:rPr>
          <w:rFonts w:ascii="Times New Roman" w:hAnsi="Times New Roman" w:cs="Times New Roman"/>
          <w:sz w:val="24"/>
          <w:szCs w:val="24"/>
        </w:rPr>
        <w:t>932</w:t>
      </w:r>
      <w:r w:rsidR="00352F58">
        <w:rPr>
          <w:rFonts w:ascii="Times New Roman" w:hAnsi="Times New Roman" w:cs="Times New Roman"/>
          <w:sz w:val="24"/>
          <w:szCs w:val="24"/>
        </w:rPr>
        <w:t>,</w:t>
      </w:r>
      <w:r w:rsidR="00E92DE7">
        <w:rPr>
          <w:rFonts w:ascii="Times New Roman" w:hAnsi="Times New Roman" w:cs="Times New Roman"/>
          <w:sz w:val="24"/>
          <w:szCs w:val="24"/>
        </w:rPr>
        <w:t>18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A537F5">
        <w:rPr>
          <w:rFonts w:ascii="Times New Roman" w:hAnsi="Times New Roman" w:cs="Times New Roman"/>
          <w:sz w:val="24"/>
          <w:szCs w:val="24"/>
        </w:rPr>
        <w:t>100</w:t>
      </w:r>
      <w:r w:rsidR="00C958B2">
        <w:rPr>
          <w:rFonts w:ascii="Times New Roman" w:hAnsi="Times New Roman" w:cs="Times New Roman"/>
          <w:sz w:val="24"/>
          <w:szCs w:val="24"/>
        </w:rPr>
        <w:t>,</w:t>
      </w:r>
      <w:r w:rsidR="00A537F5">
        <w:rPr>
          <w:rFonts w:ascii="Times New Roman" w:hAnsi="Times New Roman" w:cs="Times New Roman"/>
          <w:sz w:val="24"/>
          <w:szCs w:val="24"/>
        </w:rPr>
        <w:t>00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  <w:r w:rsidR="002876C1" w:rsidRP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Процент исполнения бюджета по расходам </w:t>
      </w:r>
      <w:r w:rsidR="002876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F51B5F">
        <w:rPr>
          <w:rFonts w:ascii="Times New Roman" w:hAnsi="Times New Roman" w:cs="Times New Roman"/>
          <w:sz w:val="24"/>
          <w:szCs w:val="24"/>
        </w:rPr>
        <w:t>92,68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%, что связано с отсутствием потребности в использовании </w:t>
      </w:r>
      <w:r w:rsidR="002876C1">
        <w:rPr>
          <w:rFonts w:ascii="Times New Roman" w:hAnsi="Times New Roman" w:cs="Times New Roman"/>
          <w:sz w:val="24"/>
          <w:szCs w:val="24"/>
        </w:rPr>
        <w:t>резервного фонда Администрации ЗАТО г. Железногорск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proofErr w:type="gramStart"/>
      <w:r w:rsidR="002876C1">
        <w:rPr>
          <w:rFonts w:ascii="Times New Roman" w:hAnsi="Times New Roman" w:cs="Times New Roman"/>
          <w:sz w:val="24"/>
          <w:szCs w:val="24"/>
        </w:rPr>
        <w:t>,</w:t>
      </w:r>
      <w:r w:rsidR="00D23E7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23E73">
        <w:rPr>
          <w:rFonts w:ascii="Times New Roman" w:hAnsi="Times New Roman" w:cs="Times New Roman"/>
          <w:sz w:val="24"/>
          <w:szCs w:val="24"/>
        </w:rPr>
        <w:t xml:space="preserve"> в связи с</w:t>
      </w:r>
      <w:r w:rsid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F51B5F">
        <w:rPr>
          <w:rFonts w:ascii="Times New Roman" w:hAnsi="Times New Roman" w:cs="Times New Roman"/>
          <w:sz w:val="24"/>
          <w:szCs w:val="24"/>
        </w:rPr>
        <w:t xml:space="preserve">отсутствием </w:t>
      </w:r>
      <w:r w:rsidR="00D23E73">
        <w:rPr>
          <w:rFonts w:ascii="Times New Roman" w:hAnsi="Times New Roman" w:cs="Times New Roman"/>
          <w:sz w:val="24"/>
          <w:szCs w:val="24"/>
        </w:rPr>
        <w:t xml:space="preserve">необходимости обслуживания </w:t>
      </w:r>
      <w:r w:rsidR="00F51B5F">
        <w:rPr>
          <w:rFonts w:ascii="Times New Roman" w:hAnsi="Times New Roman" w:cs="Times New Roman"/>
          <w:sz w:val="24"/>
          <w:szCs w:val="24"/>
        </w:rPr>
        <w:t>муниципального долга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BD79E3" w:rsidRPr="006D1BAC" w:rsidRDefault="001F19E9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F51B5F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F51B5F">
        <w:rPr>
          <w:rFonts w:ascii="Times New Roman" w:hAnsi="Times New Roman" w:cs="Times New Roman"/>
          <w:sz w:val="24"/>
          <w:szCs w:val="24"/>
        </w:rPr>
        <w:t>6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F51B5F">
        <w:rPr>
          <w:rFonts w:ascii="Times New Roman" w:hAnsi="Times New Roman" w:cs="Times New Roman"/>
          <w:sz w:val="24"/>
          <w:szCs w:val="24"/>
        </w:rPr>
        <w:t>011,79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2824F9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2824F9">
        <w:rPr>
          <w:rFonts w:ascii="Times New Roman" w:hAnsi="Times New Roman" w:cs="Times New Roman"/>
          <w:sz w:val="24"/>
          <w:szCs w:val="24"/>
        </w:rPr>
        <w:t xml:space="preserve"> (</w:t>
      </w:r>
      <w:r w:rsidR="00F51B5F">
        <w:rPr>
          <w:rFonts w:ascii="Times New Roman" w:hAnsi="Times New Roman" w:cs="Times New Roman"/>
          <w:sz w:val="24"/>
          <w:szCs w:val="24"/>
        </w:rPr>
        <w:t>6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F51B5F">
        <w:rPr>
          <w:rFonts w:ascii="Times New Roman" w:hAnsi="Times New Roman" w:cs="Times New Roman"/>
          <w:sz w:val="24"/>
          <w:szCs w:val="24"/>
        </w:rPr>
        <w:t>011</w:t>
      </w:r>
      <w:r w:rsidR="002824F9">
        <w:rPr>
          <w:rFonts w:ascii="Times New Roman" w:hAnsi="Times New Roman" w:cs="Times New Roman"/>
          <w:sz w:val="24"/>
          <w:szCs w:val="24"/>
        </w:rPr>
        <w:t>,79 рублей)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03506D" w:rsidRPr="006D1BAC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="0003506D" w:rsidRPr="006D1BAC">
        <w:rPr>
          <w:rFonts w:ascii="Times New Roman" w:hAnsi="Times New Roman" w:cs="Times New Roman"/>
          <w:sz w:val="24"/>
          <w:szCs w:val="24"/>
        </w:rPr>
        <w:t xml:space="preserve">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F51B5F">
        <w:rPr>
          <w:rFonts w:ascii="Times New Roman" w:hAnsi="Times New Roman" w:cs="Times New Roman"/>
          <w:sz w:val="24"/>
          <w:szCs w:val="24"/>
        </w:rPr>
        <w:t>дека</w:t>
      </w:r>
      <w:r w:rsidR="00DA2C9B">
        <w:rPr>
          <w:rFonts w:ascii="Times New Roman" w:hAnsi="Times New Roman" w:cs="Times New Roman"/>
          <w:sz w:val="24"/>
          <w:szCs w:val="24"/>
        </w:rPr>
        <w:t>бре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D23E73">
        <w:rPr>
          <w:rFonts w:ascii="Times New Roman" w:hAnsi="Times New Roman" w:cs="Times New Roman"/>
          <w:sz w:val="24"/>
          <w:szCs w:val="24"/>
        </w:rPr>
        <w:t>3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E6258C">
        <w:rPr>
          <w:rFonts w:ascii="Times New Roman" w:hAnsi="Times New Roman" w:cs="Times New Roman"/>
          <w:sz w:val="24"/>
          <w:szCs w:val="24"/>
        </w:rPr>
        <w:t>ода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F51B5F">
        <w:rPr>
          <w:rFonts w:ascii="Times New Roman" w:hAnsi="Times New Roman" w:cs="Times New Roman"/>
          <w:sz w:val="24"/>
          <w:szCs w:val="24"/>
        </w:rPr>
        <w:t>.</w:t>
      </w:r>
    </w:p>
    <w:p w:rsidR="009235A8" w:rsidRDefault="009235A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в корреспонденции со счетом 14014</w:t>
      </w:r>
      <w:r w:rsidR="00DA2C9B">
        <w:rPr>
          <w:rFonts w:ascii="Times New Roman" w:hAnsi="Times New Roman" w:cs="Times New Roman"/>
          <w:sz w:val="24"/>
          <w:szCs w:val="24"/>
        </w:rPr>
        <w:t>9</w:t>
      </w:r>
      <w:r w:rsidR="004E4820">
        <w:rPr>
          <w:rFonts w:ascii="Times New Roman" w:hAnsi="Times New Roman" w:cs="Times New Roman"/>
          <w:sz w:val="24"/>
          <w:szCs w:val="24"/>
        </w:rPr>
        <w:t xml:space="preserve"> «Доходы будущих периодов</w:t>
      </w:r>
      <w:r w:rsidR="00DA2C9B">
        <w:rPr>
          <w:rFonts w:ascii="Times New Roman" w:hAnsi="Times New Roman" w:cs="Times New Roman"/>
          <w:sz w:val="24"/>
          <w:szCs w:val="24"/>
        </w:rPr>
        <w:t xml:space="preserve"> к признанию в очередные года</w:t>
      </w:r>
      <w:r w:rsidR="004E4820">
        <w:rPr>
          <w:rFonts w:ascii="Times New Roman" w:hAnsi="Times New Roman" w:cs="Times New Roman"/>
          <w:sz w:val="24"/>
          <w:szCs w:val="24"/>
        </w:rPr>
        <w:t>» начислены доходы в части доходов будущих периодов по предоставляемым в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202</w:t>
      </w:r>
      <w:r w:rsidR="00A863DB">
        <w:rPr>
          <w:rFonts w:ascii="Times New Roman" w:hAnsi="Times New Roman" w:cs="Times New Roman"/>
          <w:sz w:val="24"/>
          <w:szCs w:val="24"/>
        </w:rPr>
        <w:t>4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A863DB">
        <w:rPr>
          <w:rFonts w:ascii="Times New Roman" w:hAnsi="Times New Roman" w:cs="Times New Roman"/>
          <w:sz w:val="24"/>
          <w:szCs w:val="24"/>
        </w:rPr>
        <w:t>6</w:t>
      </w:r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4820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межбюджетным трансфертам. </w:t>
      </w:r>
      <w:r w:rsidR="00AC15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C15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AC1564">
        <w:rPr>
          <w:rFonts w:ascii="Times New Roman" w:hAnsi="Times New Roman" w:cs="Times New Roman"/>
          <w:sz w:val="24"/>
          <w:szCs w:val="24"/>
        </w:rPr>
        <w:t xml:space="preserve">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A863DB">
        <w:rPr>
          <w:rFonts w:ascii="Times New Roman" w:hAnsi="Times New Roman" w:cs="Times New Roman"/>
          <w:sz w:val="24"/>
          <w:szCs w:val="24"/>
        </w:rPr>
        <w:t>3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A863DB">
        <w:rPr>
          <w:rFonts w:ascii="Times New Roman" w:hAnsi="Times New Roman" w:cs="Times New Roman"/>
          <w:sz w:val="24"/>
          <w:szCs w:val="24"/>
        </w:rPr>
        <w:t>7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A863DB">
        <w:rPr>
          <w:rFonts w:ascii="Times New Roman" w:hAnsi="Times New Roman" w:cs="Times New Roman"/>
          <w:sz w:val="24"/>
          <w:szCs w:val="24"/>
        </w:rPr>
        <w:t>351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A863DB">
        <w:rPr>
          <w:rFonts w:ascii="Times New Roman" w:hAnsi="Times New Roman" w:cs="Times New Roman"/>
          <w:sz w:val="24"/>
          <w:szCs w:val="24"/>
        </w:rPr>
        <w:t>643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A863DB">
        <w:rPr>
          <w:rFonts w:ascii="Times New Roman" w:hAnsi="Times New Roman" w:cs="Times New Roman"/>
          <w:sz w:val="24"/>
          <w:szCs w:val="24"/>
        </w:rPr>
        <w:t>418,48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="00A863DB">
        <w:rPr>
          <w:rFonts w:ascii="Times New Roman" w:hAnsi="Times New Roman" w:cs="Times New Roman"/>
          <w:sz w:val="24"/>
          <w:szCs w:val="24"/>
        </w:rPr>
        <w:t>4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A863DB">
        <w:rPr>
          <w:rFonts w:ascii="Times New Roman" w:hAnsi="Times New Roman" w:cs="Times New Roman"/>
          <w:sz w:val="24"/>
          <w:szCs w:val="24"/>
        </w:rPr>
        <w:t>481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A863DB">
        <w:rPr>
          <w:rFonts w:ascii="Times New Roman" w:hAnsi="Times New Roman" w:cs="Times New Roman"/>
          <w:sz w:val="24"/>
          <w:szCs w:val="24"/>
        </w:rPr>
        <w:t>051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A863DB">
        <w:rPr>
          <w:rFonts w:ascii="Times New Roman" w:hAnsi="Times New Roman" w:cs="Times New Roman"/>
          <w:sz w:val="24"/>
          <w:szCs w:val="24"/>
        </w:rPr>
        <w:t>030,40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 – долгосрочная задолженность (утвержденные межбюджетные трансферты на 202</w:t>
      </w:r>
      <w:r w:rsidR="00A863DB">
        <w:rPr>
          <w:rFonts w:ascii="Times New Roman" w:hAnsi="Times New Roman" w:cs="Times New Roman"/>
          <w:sz w:val="24"/>
          <w:szCs w:val="24"/>
        </w:rPr>
        <w:t>5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A863DB">
        <w:rPr>
          <w:rFonts w:ascii="Times New Roman" w:hAnsi="Times New Roman" w:cs="Times New Roman"/>
          <w:sz w:val="24"/>
          <w:szCs w:val="24"/>
        </w:rPr>
        <w:t>6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1A3BFD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По состоянию на 01 января 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A863DB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 кредиторской задолженности нет.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A16231" w:rsidRPr="006D1BAC" w:rsidRDefault="00A16231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января 202</w:t>
      </w:r>
      <w:r w:rsidR="00A863D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 кредиторскую задолженность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7B382C">
        <w:rPr>
          <w:rFonts w:ascii="Times New Roman" w:hAnsi="Times New Roman" w:cs="Times New Roman"/>
          <w:sz w:val="24"/>
          <w:szCs w:val="24"/>
        </w:rPr>
        <w:t>расчетам по прочим платежам в бюджет в части возврата неиспользованных остатков целевых межбюджетных трансфертов</w:t>
      </w:r>
      <w:r w:rsidR="00F6287F">
        <w:rPr>
          <w:rFonts w:ascii="Times New Roman" w:hAnsi="Times New Roman" w:cs="Times New Roman"/>
          <w:sz w:val="24"/>
          <w:szCs w:val="24"/>
        </w:rPr>
        <w:t xml:space="preserve"> в размере</w:t>
      </w:r>
      <w:proofErr w:type="gramEnd"/>
      <w:r w:rsidR="00F6287F">
        <w:rPr>
          <w:rFonts w:ascii="Times New Roman" w:hAnsi="Times New Roman" w:cs="Times New Roman"/>
          <w:sz w:val="24"/>
          <w:szCs w:val="24"/>
        </w:rPr>
        <w:t xml:space="preserve"> </w:t>
      </w:r>
      <w:r w:rsidR="00A863DB">
        <w:rPr>
          <w:rFonts w:ascii="Times New Roman" w:hAnsi="Times New Roman" w:cs="Times New Roman"/>
          <w:sz w:val="24"/>
          <w:szCs w:val="24"/>
        </w:rPr>
        <w:t>491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A863DB">
        <w:rPr>
          <w:rFonts w:ascii="Times New Roman" w:hAnsi="Times New Roman" w:cs="Times New Roman"/>
          <w:sz w:val="24"/>
          <w:szCs w:val="24"/>
        </w:rPr>
        <w:t>853,39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По балансовому счету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20100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97678C">
        <w:rPr>
          <w:rFonts w:ascii="Times New Roman" w:hAnsi="Times New Roman" w:cs="Times New Roman"/>
          <w:sz w:val="24"/>
          <w:szCs w:val="24"/>
        </w:rPr>
        <w:t>3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</w:t>
      </w:r>
      <w:r w:rsidR="0097678C">
        <w:rPr>
          <w:rFonts w:ascii="Times New Roman" w:hAnsi="Times New Roman" w:cs="Times New Roman"/>
          <w:sz w:val="24"/>
          <w:szCs w:val="24"/>
        </w:rPr>
        <w:t>4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E73" w:rsidRDefault="00525C81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управлении сформирован резерв предстоящих расходов </w:t>
      </w:r>
    </w:p>
    <w:p w:rsidR="00525C81" w:rsidRPr="006D1BAC" w:rsidRDefault="00525C81" w:rsidP="00D23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1BAC">
        <w:rPr>
          <w:rFonts w:ascii="Times New Roman" w:hAnsi="Times New Roman" w:cs="Times New Roman"/>
          <w:sz w:val="24"/>
          <w:szCs w:val="24"/>
        </w:rPr>
        <w:t xml:space="preserve">по счету 140160 </w:t>
      </w:r>
      <w:r w:rsidR="00D9483C" w:rsidRPr="006D1BAC">
        <w:rPr>
          <w:rFonts w:ascii="Times New Roman" w:hAnsi="Times New Roman" w:cs="Times New Roman"/>
          <w:sz w:val="24"/>
          <w:szCs w:val="24"/>
        </w:rPr>
        <w:t xml:space="preserve">на оплату отпусков </w:t>
      </w:r>
      <w:r w:rsidRPr="006D1BAC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CC20DC">
        <w:rPr>
          <w:rFonts w:ascii="Times New Roman" w:hAnsi="Times New Roman" w:cs="Times New Roman"/>
          <w:sz w:val="24"/>
          <w:szCs w:val="24"/>
        </w:rPr>
        <w:t>3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>746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>811,67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т.ч. резерв на оплату отпусков за отработанное время в части выплат персоналу сч.140160211 – </w:t>
      </w:r>
      <w:r w:rsidR="00CC20DC">
        <w:rPr>
          <w:rFonts w:ascii="Times New Roman" w:hAnsi="Times New Roman" w:cs="Times New Roman"/>
          <w:sz w:val="24"/>
          <w:szCs w:val="24"/>
        </w:rPr>
        <w:t>2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>877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>735,54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части страховых взносов сч.140160213 – </w:t>
      </w:r>
      <w:r w:rsidR="00CC20DC">
        <w:rPr>
          <w:rFonts w:ascii="Times New Roman" w:hAnsi="Times New Roman" w:cs="Times New Roman"/>
          <w:sz w:val="24"/>
          <w:szCs w:val="24"/>
        </w:rPr>
        <w:t>869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>076,13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="00CC20DC">
        <w:rPr>
          <w:rFonts w:ascii="Times New Roman" w:hAnsi="Times New Roman" w:cs="Times New Roman"/>
          <w:sz w:val="24"/>
          <w:szCs w:val="24"/>
        </w:rPr>
        <w:t xml:space="preserve">рублей, на оплату искового требования из средств казны сч.140160297 </w:t>
      </w:r>
      <w:r w:rsidR="0060118C">
        <w:rPr>
          <w:rFonts w:ascii="Times New Roman" w:hAnsi="Times New Roman" w:cs="Times New Roman"/>
          <w:sz w:val="24"/>
          <w:szCs w:val="24"/>
        </w:rPr>
        <w:t>–</w:t>
      </w:r>
      <w:r w:rsidR="00CC20DC">
        <w:rPr>
          <w:rFonts w:ascii="Times New Roman" w:hAnsi="Times New Roman" w:cs="Times New Roman"/>
          <w:sz w:val="24"/>
          <w:szCs w:val="24"/>
        </w:rPr>
        <w:t xml:space="preserve"> </w:t>
      </w:r>
      <w:r w:rsidR="0060118C">
        <w:rPr>
          <w:rFonts w:ascii="Times New Roman" w:hAnsi="Times New Roman" w:cs="Times New Roman"/>
          <w:sz w:val="24"/>
          <w:szCs w:val="24"/>
        </w:rPr>
        <w:t>323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60118C">
        <w:rPr>
          <w:rFonts w:ascii="Times New Roman" w:hAnsi="Times New Roman" w:cs="Times New Roman"/>
          <w:sz w:val="24"/>
          <w:szCs w:val="24"/>
        </w:rPr>
        <w:t>056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60118C">
        <w:rPr>
          <w:rFonts w:ascii="Times New Roman" w:hAnsi="Times New Roman" w:cs="Times New Roman"/>
          <w:sz w:val="24"/>
          <w:szCs w:val="24"/>
        </w:rPr>
        <w:t>956,16</w:t>
      </w:r>
      <w:r w:rsidR="00A537F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011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458D" w:rsidRPr="006D1BAC" w:rsidRDefault="00A5558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</w:t>
      </w:r>
      <w:r w:rsidR="00FF5BE2">
        <w:rPr>
          <w:rFonts w:ascii="Times New Roman" w:hAnsi="Times New Roman" w:cs="Times New Roman"/>
          <w:sz w:val="24"/>
          <w:szCs w:val="24"/>
        </w:rPr>
        <w:t>2</w:t>
      </w:r>
      <w:r w:rsidR="0060118C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, в т.ч. мебель)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60118C">
        <w:rPr>
          <w:rFonts w:ascii="Times New Roman" w:hAnsi="Times New Roman" w:cs="Times New Roman"/>
          <w:sz w:val="24"/>
          <w:szCs w:val="24"/>
        </w:rPr>
        <w:t>30</w:t>
      </w:r>
      <w:r w:rsidR="00F32BF4">
        <w:rPr>
          <w:rFonts w:ascii="Times New Roman" w:hAnsi="Times New Roman" w:cs="Times New Roman"/>
          <w:sz w:val="24"/>
          <w:szCs w:val="24"/>
        </w:rPr>
        <w:t xml:space="preserve"> </w:t>
      </w:r>
      <w:r w:rsidR="0060118C">
        <w:rPr>
          <w:rFonts w:ascii="Times New Roman" w:hAnsi="Times New Roman" w:cs="Times New Roman"/>
          <w:sz w:val="24"/>
          <w:szCs w:val="24"/>
        </w:rPr>
        <w:t>2</w:t>
      </w:r>
      <w:r w:rsidR="00A502EB">
        <w:rPr>
          <w:rFonts w:ascii="Times New Roman" w:hAnsi="Times New Roman" w:cs="Times New Roman"/>
          <w:sz w:val="24"/>
          <w:szCs w:val="24"/>
        </w:rPr>
        <w:t>00,00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6287F">
        <w:rPr>
          <w:rFonts w:ascii="Times New Roman" w:hAnsi="Times New Roman" w:cs="Times New Roman"/>
          <w:sz w:val="24"/>
          <w:szCs w:val="24"/>
        </w:rPr>
        <w:t>ей</w:t>
      </w:r>
      <w:r w:rsidR="00A502EB">
        <w:rPr>
          <w:rFonts w:ascii="Times New Roman" w:hAnsi="Times New Roman" w:cs="Times New Roman"/>
          <w:sz w:val="24"/>
          <w:szCs w:val="24"/>
        </w:rPr>
        <w:t xml:space="preserve"> и списаны пришедшие в негодность основные средства (</w:t>
      </w:r>
      <w:r w:rsidR="00272073">
        <w:rPr>
          <w:rFonts w:ascii="Times New Roman" w:hAnsi="Times New Roman" w:cs="Times New Roman"/>
          <w:sz w:val="24"/>
          <w:szCs w:val="24"/>
        </w:rPr>
        <w:t xml:space="preserve">машины и оборудование, </w:t>
      </w:r>
      <w:r w:rsidR="00A502EB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A502EB">
        <w:rPr>
          <w:rFonts w:ascii="Times New Roman" w:hAnsi="Times New Roman" w:cs="Times New Roman"/>
          <w:sz w:val="24"/>
          <w:szCs w:val="24"/>
        </w:rPr>
        <w:t>, в т.ч. мебель)</w:t>
      </w:r>
      <w:r w:rsidR="00A502EB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502EB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272073">
        <w:rPr>
          <w:rFonts w:ascii="Times New Roman" w:hAnsi="Times New Roman" w:cs="Times New Roman"/>
          <w:sz w:val="24"/>
          <w:szCs w:val="24"/>
        </w:rPr>
        <w:t>25</w:t>
      </w:r>
      <w:r w:rsidR="00F32BF4">
        <w:rPr>
          <w:rFonts w:ascii="Times New Roman" w:hAnsi="Times New Roman" w:cs="Times New Roman"/>
          <w:sz w:val="24"/>
          <w:szCs w:val="24"/>
        </w:rPr>
        <w:t xml:space="preserve"> </w:t>
      </w:r>
      <w:r w:rsidR="00272073">
        <w:rPr>
          <w:rFonts w:ascii="Times New Roman" w:hAnsi="Times New Roman" w:cs="Times New Roman"/>
          <w:sz w:val="24"/>
          <w:szCs w:val="24"/>
        </w:rPr>
        <w:t>435</w:t>
      </w:r>
      <w:r w:rsidR="00A502EB">
        <w:rPr>
          <w:rFonts w:ascii="Times New Roman" w:hAnsi="Times New Roman" w:cs="Times New Roman"/>
          <w:sz w:val="24"/>
          <w:szCs w:val="24"/>
        </w:rPr>
        <w:t>,00 рублей.</w:t>
      </w:r>
      <w:r w:rsidR="00525C81">
        <w:rPr>
          <w:rFonts w:ascii="Times New Roman" w:hAnsi="Times New Roman" w:cs="Times New Roman"/>
          <w:sz w:val="24"/>
          <w:szCs w:val="24"/>
        </w:rPr>
        <w:t xml:space="preserve"> </w:t>
      </w:r>
      <w:r w:rsidR="00DB5525">
        <w:rPr>
          <w:rFonts w:ascii="Times New Roman" w:hAnsi="Times New Roman" w:cs="Times New Roman"/>
          <w:sz w:val="24"/>
          <w:szCs w:val="24"/>
        </w:rPr>
        <w:t xml:space="preserve">В 2022 году был заключен муниципальный контракт со специализированной </w:t>
      </w:r>
      <w:proofErr w:type="gramStart"/>
      <w:r w:rsidR="00DB5525">
        <w:rPr>
          <w:rFonts w:ascii="Times New Roman" w:hAnsi="Times New Roman" w:cs="Times New Roman"/>
          <w:sz w:val="24"/>
          <w:szCs w:val="24"/>
        </w:rPr>
        <w:t>организацией</w:t>
      </w:r>
      <w:proofErr w:type="gramEnd"/>
      <w:r w:rsidR="00DB5525">
        <w:rPr>
          <w:rFonts w:ascii="Times New Roman" w:hAnsi="Times New Roman" w:cs="Times New Roman"/>
          <w:sz w:val="24"/>
          <w:szCs w:val="24"/>
        </w:rPr>
        <w:t xml:space="preserve"> на утилизацию пришедшего в негодность имущества, в т.ч. выявленного при проведении инвентаризации 2021 и 2022 года. Имущество было передано исполнителю и списано с </w:t>
      </w:r>
      <w:proofErr w:type="spellStart"/>
      <w:r w:rsidR="00DB5525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="00DB5525">
        <w:rPr>
          <w:rFonts w:ascii="Times New Roman" w:hAnsi="Times New Roman" w:cs="Times New Roman"/>
          <w:sz w:val="24"/>
          <w:szCs w:val="24"/>
        </w:rPr>
        <w:t xml:space="preserve"> учета. </w:t>
      </w:r>
      <w:r w:rsidR="004C74B6" w:rsidRPr="006D1BAC">
        <w:rPr>
          <w:rFonts w:ascii="Times New Roman" w:hAnsi="Times New Roman" w:cs="Times New Roman"/>
          <w:sz w:val="24"/>
          <w:szCs w:val="24"/>
        </w:rPr>
        <w:t>(Сведения о движении нефинансовых активов – ф.0503168)</w:t>
      </w:r>
      <w:r w:rsidR="004666EF">
        <w:rPr>
          <w:rFonts w:ascii="Times New Roman" w:hAnsi="Times New Roman" w:cs="Times New Roman"/>
          <w:sz w:val="24"/>
          <w:szCs w:val="24"/>
        </w:rPr>
        <w:t>.</w:t>
      </w:r>
    </w:p>
    <w:p w:rsidR="00AD457F" w:rsidRPr="00A502EB" w:rsidRDefault="004C74B6" w:rsidP="00A50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91AB3">
        <w:rPr>
          <w:rFonts w:ascii="Times New Roman" w:hAnsi="Times New Roman" w:cs="Times New Roman"/>
          <w:sz w:val="24"/>
          <w:szCs w:val="24"/>
        </w:rPr>
        <w:t>2</w:t>
      </w:r>
      <w:r w:rsidR="0027207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666EF">
        <w:rPr>
          <w:rFonts w:ascii="Times New Roman" w:hAnsi="Times New Roman" w:cs="Times New Roman"/>
          <w:sz w:val="24"/>
          <w:szCs w:val="24"/>
        </w:rPr>
        <w:t xml:space="preserve">остались неисполненными бюджетные обязательства по взносам 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по обязательному социальному страхованию на </w:t>
      </w:r>
      <w:r w:rsidR="00F6287F" w:rsidRPr="00A502EB">
        <w:rPr>
          <w:rFonts w:ascii="Times New Roman" w:hAnsi="Times New Roman" w:cs="Times New Roman"/>
          <w:sz w:val="24"/>
          <w:szCs w:val="24"/>
        </w:rPr>
        <w:t xml:space="preserve">выплаты работникам  на сумму </w:t>
      </w:r>
      <w:r w:rsidR="00692949">
        <w:rPr>
          <w:rFonts w:ascii="Times New Roman" w:hAnsi="Times New Roman" w:cs="Times New Roman"/>
          <w:sz w:val="24"/>
          <w:szCs w:val="24"/>
        </w:rPr>
        <w:t>2,25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 рублей в связи с </w:t>
      </w:r>
      <w:r w:rsidR="00FB65BA" w:rsidRPr="00A502EB">
        <w:rPr>
          <w:rFonts w:ascii="Times New Roman" w:hAnsi="Times New Roman" w:cs="Times New Roman"/>
          <w:sz w:val="24"/>
          <w:szCs w:val="24"/>
        </w:rPr>
        <w:t>превышением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 </w:t>
      </w:r>
      <w:r w:rsidR="00F6287F" w:rsidRPr="00A502EB">
        <w:rPr>
          <w:rFonts w:ascii="Times New Roman" w:hAnsi="Times New Roman" w:cs="Times New Roman"/>
          <w:sz w:val="24"/>
          <w:szCs w:val="24"/>
        </w:rPr>
        <w:t xml:space="preserve">отдельными работниками 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предельных величин доходов, облагающихся </w:t>
      </w:r>
      <w:r w:rsidR="00FB65BA" w:rsidRPr="00A502EB">
        <w:rPr>
          <w:rFonts w:ascii="Times New Roman" w:hAnsi="Times New Roman" w:cs="Times New Roman"/>
          <w:sz w:val="24"/>
          <w:szCs w:val="24"/>
        </w:rPr>
        <w:t xml:space="preserve">страховыми </w:t>
      </w:r>
      <w:r w:rsidR="004666EF" w:rsidRPr="00A502EB">
        <w:rPr>
          <w:rFonts w:ascii="Times New Roman" w:hAnsi="Times New Roman" w:cs="Times New Roman"/>
          <w:sz w:val="24"/>
          <w:szCs w:val="24"/>
        </w:rPr>
        <w:t>взносами</w:t>
      </w:r>
      <w:r w:rsidR="00FD645C" w:rsidRPr="00A502EB">
        <w:rPr>
          <w:rFonts w:ascii="Times New Roman" w:hAnsi="Times New Roman" w:cs="Times New Roman"/>
          <w:sz w:val="24"/>
          <w:szCs w:val="24"/>
        </w:rPr>
        <w:t xml:space="preserve"> (код 99 – иные причины).</w:t>
      </w:r>
      <w:r w:rsidR="00A502EB" w:rsidRPr="00A502EB">
        <w:rPr>
          <w:rFonts w:ascii="Times New Roman" w:hAnsi="Times New Roman" w:cs="Times New Roman"/>
          <w:sz w:val="24"/>
          <w:szCs w:val="24"/>
        </w:rPr>
        <w:t xml:space="preserve"> Также остались неисполненными бюджетные обязательства в части платежа в ра</w:t>
      </w:r>
      <w:r w:rsidR="00A502EB">
        <w:rPr>
          <w:rFonts w:ascii="Times New Roman" w:hAnsi="Times New Roman" w:cs="Times New Roman"/>
          <w:sz w:val="24"/>
          <w:szCs w:val="24"/>
        </w:rPr>
        <w:t>з</w:t>
      </w:r>
      <w:r w:rsidR="00A502EB" w:rsidRPr="00A502EB">
        <w:rPr>
          <w:rFonts w:ascii="Times New Roman" w:hAnsi="Times New Roman" w:cs="Times New Roman"/>
          <w:sz w:val="24"/>
          <w:szCs w:val="24"/>
        </w:rPr>
        <w:t xml:space="preserve">мере </w:t>
      </w:r>
      <w:r w:rsidR="00692949">
        <w:rPr>
          <w:rFonts w:ascii="Times New Roman" w:hAnsi="Times New Roman" w:cs="Times New Roman"/>
          <w:sz w:val="24"/>
          <w:szCs w:val="24"/>
        </w:rPr>
        <w:t>149,93</w:t>
      </w:r>
      <w:r w:rsidR="00A502EB" w:rsidRPr="00A502EB">
        <w:rPr>
          <w:rFonts w:ascii="Times New Roman" w:hAnsi="Times New Roman" w:cs="Times New Roman"/>
          <w:sz w:val="24"/>
          <w:szCs w:val="24"/>
        </w:rPr>
        <w:t xml:space="preserve"> рублей по договору на оказание услуг по обращению с отходами</w:t>
      </w:r>
      <w:r w:rsidR="00A502EB">
        <w:rPr>
          <w:rFonts w:ascii="Times New Roman" w:hAnsi="Times New Roman" w:cs="Times New Roman"/>
          <w:sz w:val="24"/>
          <w:szCs w:val="24"/>
        </w:rPr>
        <w:t xml:space="preserve"> </w:t>
      </w:r>
      <w:r w:rsidR="00A502EB" w:rsidRPr="00A502EB">
        <w:rPr>
          <w:rFonts w:ascii="Times New Roman" w:hAnsi="Times New Roman" w:cs="Times New Roman"/>
          <w:sz w:val="24"/>
          <w:szCs w:val="24"/>
        </w:rPr>
        <w:t>I и II классов опасности</w:t>
      </w:r>
      <w:r w:rsidR="00A502EB">
        <w:rPr>
          <w:rFonts w:ascii="Times New Roman" w:hAnsi="Times New Roman" w:cs="Times New Roman"/>
          <w:sz w:val="24"/>
          <w:szCs w:val="24"/>
        </w:rPr>
        <w:t xml:space="preserve"> с ФГУП «Федеральный экологический оператор» в связи с </w:t>
      </w:r>
      <w:r w:rsidR="00692949">
        <w:rPr>
          <w:rFonts w:ascii="Times New Roman" w:hAnsi="Times New Roman" w:cs="Times New Roman"/>
          <w:sz w:val="24"/>
          <w:szCs w:val="24"/>
        </w:rPr>
        <w:t>отсутствием потребности</w:t>
      </w:r>
      <w:r w:rsidR="00A502EB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</w:t>
      </w:r>
      <w:r w:rsidR="00692949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="00A537F5">
        <w:rPr>
          <w:rFonts w:ascii="Times New Roman" w:hAnsi="Times New Roman" w:cs="Times New Roman"/>
          <w:color w:val="000000"/>
          <w:spacing w:val="-1"/>
          <w:sz w:val="24"/>
          <w:szCs w:val="24"/>
        </w:rPr>
        <w:t>5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D23E73">
        <w:rPr>
          <w:rFonts w:ascii="Times New Roman" w:hAnsi="Times New Roman" w:cs="Times New Roman"/>
          <w:color w:val="000000"/>
          <w:spacing w:val="-1"/>
          <w:sz w:val="24"/>
          <w:szCs w:val="24"/>
        </w:rPr>
        <w:t>3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9294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основных средств и 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692949">
        <w:rPr>
          <w:rFonts w:ascii="Times New Roman" w:hAnsi="Times New Roman" w:cs="Times New Roman"/>
          <w:color w:val="000000"/>
          <w:spacing w:val="-1"/>
          <w:sz w:val="24"/>
          <w:szCs w:val="24"/>
        </w:rPr>
        <w:t>4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расчетов и обязательств.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77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2949">
        <w:rPr>
          <w:rFonts w:ascii="Times New Roman" w:hAnsi="Times New Roman" w:cs="Times New Roman"/>
          <w:color w:val="000000"/>
          <w:sz w:val="24"/>
          <w:szCs w:val="24"/>
        </w:rPr>
        <w:t>основных средств и материальных запасов расхождений не выявлено.</w:t>
      </w:r>
      <w:r w:rsidR="008A7EE3"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Фактическое наличие соответствует данным бухгалтерского учета.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z w:val="24"/>
          <w:szCs w:val="24"/>
        </w:rPr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</w:p>
    <w:p w:rsidR="004C37FC" w:rsidRDefault="000A3F61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A3F61" w:rsidRPr="004C37FC" w:rsidRDefault="004C37FC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C37FC">
        <w:rPr>
          <w:rFonts w:ascii="Times New Roman" w:hAnsi="Times New Roman" w:cs="Times New Roman"/>
          <w:sz w:val="24"/>
          <w:szCs w:val="24"/>
        </w:rPr>
        <w:t xml:space="preserve">тчет о бюджетных обязательствах по национальным проектам (ф.0503128-НП) </w:t>
      </w: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264477" w:rsidRDefault="00CC43D5" w:rsidP="004535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Сведения о государственном (муниципальном) долге, предоставленных бюджетных кредитах (ф. 0503172)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9F438D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CC43D5" w:rsidP="00CC43D5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5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</w:t>
      </w:r>
      <w:r w:rsidR="008A7EE3">
        <w:rPr>
          <w:sz w:val="24"/>
          <w:szCs w:val="24"/>
        </w:rPr>
        <w:t>4</w:t>
      </w:r>
      <w:r w:rsidRPr="006D1BAC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8A7EE3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5B7348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5B7348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5B7348">
        <w:rPr>
          <w:rFonts w:ascii="Times New Roman" w:hAnsi="Times New Roman" w:cs="Times New Roman"/>
          <w:sz w:val="24"/>
          <w:szCs w:val="24"/>
        </w:rPr>
        <w:t>4</w:t>
      </w:r>
    </w:p>
    <w:p w:rsidR="007A2135" w:rsidRDefault="00E4308F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проведении инвентаризации (Таблица № 6)</w:t>
      </w:r>
      <w:r w:rsidR="007A2135" w:rsidRPr="006D1BAC">
        <w:rPr>
          <w:rFonts w:ascii="Times New Roman" w:hAnsi="Times New Roman" w:cs="Times New Roman"/>
          <w:sz w:val="24"/>
          <w:szCs w:val="24"/>
        </w:rPr>
        <w:t>.</w:t>
      </w:r>
    </w:p>
    <w:p w:rsidR="00E4308F" w:rsidRDefault="00E4308F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увеличения просроченной задолженности (Таблица № 15)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BE25B5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 отдела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606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</w:t>
            </w:r>
            <w:r w:rsidR="00606D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В.Печенева</w:t>
            </w:r>
            <w:proofErr w:type="spellEnd"/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606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606D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606D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A53DF4"/>
    <w:rsid w:val="000002E0"/>
    <w:rsid w:val="0002305F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75"/>
    <w:rsid w:val="000E77C9"/>
    <w:rsid w:val="00105CFF"/>
    <w:rsid w:val="001104E4"/>
    <w:rsid w:val="0012320D"/>
    <w:rsid w:val="00127ACF"/>
    <w:rsid w:val="001349C3"/>
    <w:rsid w:val="00145C76"/>
    <w:rsid w:val="00175917"/>
    <w:rsid w:val="00194842"/>
    <w:rsid w:val="001A3BFD"/>
    <w:rsid w:val="001A7E1E"/>
    <w:rsid w:val="001B2858"/>
    <w:rsid w:val="001C4A85"/>
    <w:rsid w:val="001C4BDC"/>
    <w:rsid w:val="001E631F"/>
    <w:rsid w:val="001F19E9"/>
    <w:rsid w:val="00220FDC"/>
    <w:rsid w:val="00223D76"/>
    <w:rsid w:val="0022726E"/>
    <w:rsid w:val="00245C3C"/>
    <w:rsid w:val="00252917"/>
    <w:rsid w:val="00264477"/>
    <w:rsid w:val="00272073"/>
    <w:rsid w:val="00276EAE"/>
    <w:rsid w:val="002824F9"/>
    <w:rsid w:val="002876C1"/>
    <w:rsid w:val="00292C27"/>
    <w:rsid w:val="002A440A"/>
    <w:rsid w:val="002D2320"/>
    <w:rsid w:val="002F316B"/>
    <w:rsid w:val="00330697"/>
    <w:rsid w:val="00340345"/>
    <w:rsid w:val="003456C0"/>
    <w:rsid w:val="00352F58"/>
    <w:rsid w:val="00357C1F"/>
    <w:rsid w:val="003857B5"/>
    <w:rsid w:val="00394B1A"/>
    <w:rsid w:val="003F10E6"/>
    <w:rsid w:val="00407511"/>
    <w:rsid w:val="00407C86"/>
    <w:rsid w:val="004154F2"/>
    <w:rsid w:val="00437906"/>
    <w:rsid w:val="00444358"/>
    <w:rsid w:val="0045351B"/>
    <w:rsid w:val="004666EF"/>
    <w:rsid w:val="0047081B"/>
    <w:rsid w:val="0048016B"/>
    <w:rsid w:val="00493B66"/>
    <w:rsid w:val="004978BE"/>
    <w:rsid w:val="004B0C65"/>
    <w:rsid w:val="004C37FC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34CF9"/>
    <w:rsid w:val="0053758E"/>
    <w:rsid w:val="00546261"/>
    <w:rsid w:val="005572F8"/>
    <w:rsid w:val="0056681A"/>
    <w:rsid w:val="0057460F"/>
    <w:rsid w:val="00580107"/>
    <w:rsid w:val="00585A06"/>
    <w:rsid w:val="005B0DCD"/>
    <w:rsid w:val="005B1035"/>
    <w:rsid w:val="005B1323"/>
    <w:rsid w:val="005B7348"/>
    <w:rsid w:val="005C5C3D"/>
    <w:rsid w:val="005D65DA"/>
    <w:rsid w:val="005E3BC4"/>
    <w:rsid w:val="005F0015"/>
    <w:rsid w:val="0060118C"/>
    <w:rsid w:val="00606D3E"/>
    <w:rsid w:val="006241B8"/>
    <w:rsid w:val="006308FE"/>
    <w:rsid w:val="00637161"/>
    <w:rsid w:val="00674538"/>
    <w:rsid w:val="00681A51"/>
    <w:rsid w:val="00687DFC"/>
    <w:rsid w:val="00692949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110AE"/>
    <w:rsid w:val="007269B4"/>
    <w:rsid w:val="0075063D"/>
    <w:rsid w:val="00761EF8"/>
    <w:rsid w:val="007A02B4"/>
    <w:rsid w:val="007A2135"/>
    <w:rsid w:val="007A312E"/>
    <w:rsid w:val="007B2A6F"/>
    <w:rsid w:val="007B382C"/>
    <w:rsid w:val="007C1ADC"/>
    <w:rsid w:val="007C260F"/>
    <w:rsid w:val="007C458D"/>
    <w:rsid w:val="007E00F3"/>
    <w:rsid w:val="00815F55"/>
    <w:rsid w:val="00856CD2"/>
    <w:rsid w:val="00857727"/>
    <w:rsid w:val="008632B7"/>
    <w:rsid w:val="008641D4"/>
    <w:rsid w:val="00874DAF"/>
    <w:rsid w:val="00874E50"/>
    <w:rsid w:val="008806B9"/>
    <w:rsid w:val="0088470A"/>
    <w:rsid w:val="008A1FA2"/>
    <w:rsid w:val="008A35E1"/>
    <w:rsid w:val="008A7EE3"/>
    <w:rsid w:val="008B4597"/>
    <w:rsid w:val="008B67CE"/>
    <w:rsid w:val="008C6F84"/>
    <w:rsid w:val="008E0382"/>
    <w:rsid w:val="008F6CB2"/>
    <w:rsid w:val="00902B7A"/>
    <w:rsid w:val="00903852"/>
    <w:rsid w:val="00911F5C"/>
    <w:rsid w:val="009235A8"/>
    <w:rsid w:val="00923866"/>
    <w:rsid w:val="00926F68"/>
    <w:rsid w:val="009325F7"/>
    <w:rsid w:val="00951FBC"/>
    <w:rsid w:val="009656D4"/>
    <w:rsid w:val="00970617"/>
    <w:rsid w:val="0097678C"/>
    <w:rsid w:val="00993B0B"/>
    <w:rsid w:val="009E1EBC"/>
    <w:rsid w:val="009F438D"/>
    <w:rsid w:val="00A14A40"/>
    <w:rsid w:val="00A16231"/>
    <w:rsid w:val="00A223B7"/>
    <w:rsid w:val="00A250A0"/>
    <w:rsid w:val="00A40B88"/>
    <w:rsid w:val="00A502EB"/>
    <w:rsid w:val="00A537F5"/>
    <w:rsid w:val="00A53DF4"/>
    <w:rsid w:val="00A55584"/>
    <w:rsid w:val="00A63432"/>
    <w:rsid w:val="00A80C6C"/>
    <w:rsid w:val="00A85604"/>
    <w:rsid w:val="00A863DB"/>
    <w:rsid w:val="00A92DFE"/>
    <w:rsid w:val="00AA00F4"/>
    <w:rsid w:val="00AB2534"/>
    <w:rsid w:val="00AC1564"/>
    <w:rsid w:val="00AD457F"/>
    <w:rsid w:val="00B20958"/>
    <w:rsid w:val="00B240DA"/>
    <w:rsid w:val="00B24A77"/>
    <w:rsid w:val="00B34E18"/>
    <w:rsid w:val="00B47C1D"/>
    <w:rsid w:val="00B617FF"/>
    <w:rsid w:val="00B66991"/>
    <w:rsid w:val="00BA0A24"/>
    <w:rsid w:val="00BA6868"/>
    <w:rsid w:val="00BA7AAE"/>
    <w:rsid w:val="00BA7D0E"/>
    <w:rsid w:val="00BC07F5"/>
    <w:rsid w:val="00BD3B92"/>
    <w:rsid w:val="00BD79E3"/>
    <w:rsid w:val="00BE25B5"/>
    <w:rsid w:val="00BE51EE"/>
    <w:rsid w:val="00BF022B"/>
    <w:rsid w:val="00C07EC8"/>
    <w:rsid w:val="00C16987"/>
    <w:rsid w:val="00C21983"/>
    <w:rsid w:val="00C25DA3"/>
    <w:rsid w:val="00C30FDB"/>
    <w:rsid w:val="00C63547"/>
    <w:rsid w:val="00C859D0"/>
    <w:rsid w:val="00C91AB3"/>
    <w:rsid w:val="00C958B2"/>
    <w:rsid w:val="00CA00E7"/>
    <w:rsid w:val="00CA11B8"/>
    <w:rsid w:val="00CC20DC"/>
    <w:rsid w:val="00CC43D5"/>
    <w:rsid w:val="00D10B0C"/>
    <w:rsid w:val="00D23E73"/>
    <w:rsid w:val="00D64722"/>
    <w:rsid w:val="00D7097D"/>
    <w:rsid w:val="00D74841"/>
    <w:rsid w:val="00D83EC6"/>
    <w:rsid w:val="00D9483C"/>
    <w:rsid w:val="00DA2C9B"/>
    <w:rsid w:val="00DB5525"/>
    <w:rsid w:val="00DC297F"/>
    <w:rsid w:val="00E03005"/>
    <w:rsid w:val="00E048B5"/>
    <w:rsid w:val="00E05713"/>
    <w:rsid w:val="00E1060E"/>
    <w:rsid w:val="00E14EB8"/>
    <w:rsid w:val="00E279B6"/>
    <w:rsid w:val="00E348A8"/>
    <w:rsid w:val="00E4308F"/>
    <w:rsid w:val="00E445CD"/>
    <w:rsid w:val="00E565D0"/>
    <w:rsid w:val="00E6258C"/>
    <w:rsid w:val="00E72271"/>
    <w:rsid w:val="00E92DE7"/>
    <w:rsid w:val="00EB34C3"/>
    <w:rsid w:val="00ED38E0"/>
    <w:rsid w:val="00EE5A65"/>
    <w:rsid w:val="00EF3EF9"/>
    <w:rsid w:val="00EF74EB"/>
    <w:rsid w:val="00F01C56"/>
    <w:rsid w:val="00F25E8F"/>
    <w:rsid w:val="00F26AE0"/>
    <w:rsid w:val="00F30D32"/>
    <w:rsid w:val="00F32BF4"/>
    <w:rsid w:val="00F37803"/>
    <w:rsid w:val="00F416FA"/>
    <w:rsid w:val="00F47623"/>
    <w:rsid w:val="00F51B5F"/>
    <w:rsid w:val="00F533EB"/>
    <w:rsid w:val="00F6287F"/>
    <w:rsid w:val="00F740C4"/>
    <w:rsid w:val="00F81267"/>
    <w:rsid w:val="00F81C66"/>
    <w:rsid w:val="00FB24EB"/>
    <w:rsid w:val="00FB65BA"/>
    <w:rsid w:val="00FC1825"/>
    <w:rsid w:val="00FD1C42"/>
    <w:rsid w:val="00FD32F5"/>
    <w:rsid w:val="00FD645C"/>
    <w:rsid w:val="00FE76FD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462D82D3C7F11877234C32C6259A5A8BD3BEDFBB59760A877A2C721A10172224ADD72F5B474X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pecheneva</cp:lastModifiedBy>
  <cp:revision>10</cp:revision>
  <cp:lastPrinted>2024-01-24T08:24:00Z</cp:lastPrinted>
  <dcterms:created xsi:type="dcterms:W3CDTF">2023-01-24T09:33:00Z</dcterms:created>
  <dcterms:modified xsi:type="dcterms:W3CDTF">2024-01-24T09:22:00Z</dcterms:modified>
</cp:coreProperties>
</file>