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7A" w:rsidRPr="00AE6B7A" w:rsidRDefault="00AE6B7A" w:rsidP="00AE6B7A">
      <w:pPr>
        <w:pStyle w:val="ConsPlusNormal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B7A">
        <w:rPr>
          <w:rFonts w:ascii="Times New Roman" w:hAnsi="Times New Roman" w:cs="Times New Roman"/>
          <w:b/>
          <w:color w:val="000000"/>
          <w:sz w:val="28"/>
          <w:szCs w:val="28"/>
        </w:rPr>
        <w:t>Описательный отчет</w:t>
      </w:r>
    </w:p>
    <w:p w:rsidR="00AE6B7A" w:rsidRPr="00AE6B7A" w:rsidRDefault="00AE6B7A" w:rsidP="00AE6B7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B7A">
        <w:rPr>
          <w:rFonts w:ascii="Times New Roman" w:hAnsi="Times New Roman" w:cs="Times New Roman"/>
          <w:b/>
          <w:color w:val="000000"/>
          <w:sz w:val="28"/>
          <w:szCs w:val="28"/>
        </w:rPr>
        <w:t>о ходе реализации муниципальной программы</w:t>
      </w:r>
    </w:p>
    <w:p w:rsidR="00AE6B7A" w:rsidRDefault="00AE6B7A" w:rsidP="00AE6B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E6B7A">
        <w:rPr>
          <w:rFonts w:ascii="Times New Roman" w:hAnsi="Times New Roman" w:cs="Times New Roman"/>
          <w:b/>
          <w:color w:val="000000"/>
          <w:sz w:val="28"/>
          <w:szCs w:val="28"/>
        </w:rPr>
        <w:t>Развитие культуры ЗАТО Железногорск»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b/>
          <w:color w:val="000000"/>
          <w:sz w:val="28"/>
          <w:szCs w:val="28"/>
        </w:rPr>
        <w:t>по итогам 20</w:t>
      </w:r>
      <w:r w:rsidR="007613AD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C457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года: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посещений муниципальных библиотек составило – </w:t>
      </w:r>
      <w:r w:rsidR="007613AD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="0046284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284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1132A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посещений (план – </w:t>
      </w:r>
      <w:r w:rsidR="007613A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6284D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7613A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284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F549F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посещений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10BA7" w:rsidRPr="00C4579B" w:rsidRDefault="00010BA7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число </w:t>
      </w:r>
      <w:proofErr w:type="spell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>документовыдач</w:t>
      </w:r>
      <w:proofErr w:type="spellEnd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библиотек составило – </w:t>
      </w:r>
      <w:r w:rsidR="00907145" w:rsidRPr="00C4579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B63E9" w:rsidRPr="00C4579B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7613AD">
        <w:rPr>
          <w:rFonts w:ascii="Times New Roman" w:eastAsia="Times New Roman" w:hAnsi="Times New Roman"/>
          <w:sz w:val="28"/>
          <w:szCs w:val="28"/>
          <w:lang w:eastAsia="ar-SA"/>
        </w:rPr>
        <w:t>380,9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</w:t>
      </w:r>
      <w:r w:rsidR="001132A3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единиц (план </w:t>
      </w:r>
      <w:r w:rsidR="00907145" w:rsidRPr="00E237C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07145" w:rsidRPr="00E237C5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E237C5" w:rsidRPr="00E237C5">
        <w:rPr>
          <w:rFonts w:ascii="Times New Roman" w:eastAsia="Times New Roman" w:hAnsi="Times New Roman" w:cs="Times New Roman"/>
          <w:sz w:val="28"/>
          <w:szCs w:val="28"/>
          <w:lang w:eastAsia="ar-SA"/>
        </w:rPr>
        <w:t>380</w:t>
      </w:r>
      <w:r w:rsidR="00907145" w:rsidRPr="00E237C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E237C5" w:rsidRPr="00E237C5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</w:t>
      </w:r>
      <w:r w:rsidR="00F549F3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>единиц);</w:t>
      </w:r>
    </w:p>
    <w:p w:rsidR="00652569" w:rsidRPr="009F7AB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69B8">
        <w:rPr>
          <w:rFonts w:ascii="Times New Roman" w:hAnsi="Times New Roman" w:cs="Times New Roman"/>
          <w:sz w:val="28"/>
          <w:szCs w:val="28"/>
        </w:rPr>
        <w:t xml:space="preserve">число посетителей мероприятий учреждений </w:t>
      </w:r>
      <w:proofErr w:type="spellStart"/>
      <w:r w:rsidRPr="005769B8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769B8">
        <w:rPr>
          <w:rFonts w:ascii="Times New Roman" w:hAnsi="Times New Roman" w:cs="Times New Roman"/>
          <w:sz w:val="28"/>
          <w:szCs w:val="28"/>
        </w:rPr>
        <w:t xml:space="preserve"> типа –  </w:t>
      </w:r>
      <w:r w:rsidR="005769B8" w:rsidRPr="005769B8">
        <w:rPr>
          <w:rFonts w:ascii="Times New Roman" w:hAnsi="Times New Roman" w:cs="Times New Roman"/>
          <w:sz w:val="28"/>
          <w:szCs w:val="28"/>
        </w:rPr>
        <w:t>25,1</w:t>
      </w:r>
      <w:r w:rsidRPr="005769B8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9F7ABB">
        <w:rPr>
          <w:rFonts w:ascii="Times New Roman" w:hAnsi="Times New Roman" w:cs="Times New Roman"/>
          <w:sz w:val="28"/>
          <w:szCs w:val="28"/>
        </w:rPr>
        <w:t>;</w:t>
      </w:r>
    </w:p>
    <w:p w:rsidR="00652569" w:rsidRPr="00210D02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D02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proofErr w:type="spellStart"/>
      <w:r w:rsidRPr="00210D02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210D02">
        <w:rPr>
          <w:rFonts w:ascii="Times New Roman" w:hAnsi="Times New Roman" w:cs="Times New Roman"/>
          <w:sz w:val="28"/>
          <w:szCs w:val="28"/>
        </w:rPr>
        <w:t xml:space="preserve"> типа функционировало </w:t>
      </w:r>
      <w:r w:rsidR="00210D02" w:rsidRPr="00210D02">
        <w:rPr>
          <w:rFonts w:ascii="Times New Roman" w:hAnsi="Times New Roman" w:cs="Times New Roman"/>
          <w:sz w:val="28"/>
          <w:szCs w:val="28"/>
        </w:rPr>
        <w:t>102</w:t>
      </w:r>
      <w:r w:rsidRPr="00210D02">
        <w:rPr>
          <w:rFonts w:ascii="Times New Roman" w:hAnsi="Times New Roman" w:cs="Times New Roman"/>
          <w:sz w:val="28"/>
          <w:szCs w:val="28"/>
        </w:rPr>
        <w:t xml:space="preserve"> клубн</w:t>
      </w:r>
      <w:r w:rsidR="00907145" w:rsidRPr="00210D02">
        <w:rPr>
          <w:rFonts w:ascii="Times New Roman" w:hAnsi="Times New Roman" w:cs="Times New Roman"/>
          <w:sz w:val="28"/>
          <w:szCs w:val="28"/>
        </w:rPr>
        <w:t>ых</w:t>
      </w:r>
      <w:r w:rsidRPr="00210D02">
        <w:rPr>
          <w:rFonts w:ascii="Times New Roman" w:hAnsi="Times New Roman" w:cs="Times New Roman"/>
          <w:sz w:val="28"/>
          <w:szCs w:val="28"/>
        </w:rPr>
        <w:t xml:space="preserve"> формирован</w:t>
      </w:r>
      <w:r w:rsidR="00210D02" w:rsidRPr="00210D02">
        <w:rPr>
          <w:rFonts w:ascii="Times New Roman" w:hAnsi="Times New Roman" w:cs="Times New Roman"/>
          <w:sz w:val="28"/>
          <w:szCs w:val="28"/>
        </w:rPr>
        <w:t>ия</w:t>
      </w:r>
      <w:r w:rsidRPr="00210D02">
        <w:rPr>
          <w:rFonts w:ascii="Times New Roman" w:hAnsi="Times New Roman" w:cs="Times New Roman"/>
          <w:sz w:val="28"/>
          <w:szCs w:val="28"/>
        </w:rPr>
        <w:t>, в том числе самодеятельного народного творчества, а также любительские объединения и клубы по интересам (</w:t>
      </w:r>
      <w:r w:rsidR="00210D02" w:rsidRPr="00210D02">
        <w:rPr>
          <w:rFonts w:ascii="Times New Roman" w:hAnsi="Times New Roman" w:cs="Times New Roman"/>
          <w:sz w:val="28"/>
          <w:szCs w:val="28"/>
        </w:rPr>
        <w:t>1 762</w:t>
      </w:r>
      <w:r w:rsidRPr="00210D02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210D02" w:rsidRPr="00210D02">
        <w:rPr>
          <w:rFonts w:ascii="Times New Roman" w:hAnsi="Times New Roman" w:cs="Times New Roman"/>
          <w:sz w:val="28"/>
          <w:szCs w:val="28"/>
        </w:rPr>
        <w:t>а</w:t>
      </w:r>
      <w:r w:rsidRPr="00210D02">
        <w:rPr>
          <w:rFonts w:ascii="Times New Roman" w:hAnsi="Times New Roman" w:cs="Times New Roman"/>
          <w:sz w:val="28"/>
          <w:szCs w:val="28"/>
        </w:rPr>
        <w:t>);</w:t>
      </w:r>
    </w:p>
    <w:p w:rsidR="00652569" w:rsidRPr="003C15C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5CB">
        <w:rPr>
          <w:rFonts w:ascii="Times New Roman" w:hAnsi="Times New Roman" w:cs="Times New Roman"/>
          <w:sz w:val="28"/>
          <w:szCs w:val="28"/>
        </w:rPr>
        <w:t xml:space="preserve">число посещений МБУК МВЦ – </w:t>
      </w:r>
      <w:r w:rsidR="003C15CB" w:rsidRPr="003C15CB">
        <w:rPr>
          <w:rFonts w:ascii="Times New Roman" w:hAnsi="Times New Roman" w:cs="Times New Roman"/>
          <w:sz w:val="28"/>
          <w:szCs w:val="28"/>
        </w:rPr>
        <w:t>35</w:t>
      </w:r>
      <w:r w:rsidR="005B2C18" w:rsidRPr="003C15CB">
        <w:rPr>
          <w:rFonts w:ascii="Times New Roman" w:hAnsi="Times New Roman" w:cs="Times New Roman"/>
          <w:sz w:val="28"/>
          <w:szCs w:val="28"/>
        </w:rPr>
        <w:t>,1</w:t>
      </w:r>
      <w:r w:rsidRPr="003C15CB">
        <w:rPr>
          <w:rFonts w:ascii="Times New Roman" w:hAnsi="Times New Roman" w:cs="Times New Roman"/>
          <w:sz w:val="28"/>
          <w:szCs w:val="28"/>
        </w:rPr>
        <w:t xml:space="preserve"> тыс. человек (план – </w:t>
      </w:r>
      <w:r w:rsidR="003C15CB" w:rsidRPr="003C15CB">
        <w:rPr>
          <w:rFonts w:ascii="Times New Roman" w:hAnsi="Times New Roman" w:cs="Times New Roman"/>
          <w:sz w:val="28"/>
          <w:szCs w:val="28"/>
        </w:rPr>
        <w:t>35</w:t>
      </w:r>
      <w:r w:rsidRPr="003C15CB">
        <w:rPr>
          <w:rFonts w:ascii="Times New Roman" w:hAnsi="Times New Roman" w:cs="Times New Roman"/>
          <w:sz w:val="28"/>
          <w:szCs w:val="28"/>
        </w:rPr>
        <w:t>,0 тыс. человек);</w:t>
      </w:r>
    </w:p>
    <w:p w:rsidR="00652569" w:rsidRPr="0046284D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284D">
        <w:rPr>
          <w:rFonts w:ascii="Times New Roman" w:hAnsi="Times New Roman" w:cs="Times New Roman"/>
          <w:sz w:val="28"/>
          <w:szCs w:val="28"/>
        </w:rPr>
        <w:t xml:space="preserve">число зрителей профессиональных театров – </w:t>
      </w:r>
      <w:r w:rsidR="008D3DFB" w:rsidRPr="0046284D">
        <w:rPr>
          <w:rFonts w:ascii="Times New Roman" w:hAnsi="Times New Roman" w:cs="Times New Roman"/>
          <w:sz w:val="28"/>
          <w:szCs w:val="28"/>
        </w:rPr>
        <w:t>8,3</w:t>
      </w:r>
      <w:r w:rsidRPr="0046284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6284D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46284D">
        <w:rPr>
          <w:rFonts w:ascii="Times New Roman" w:hAnsi="Times New Roman" w:cs="Times New Roman"/>
          <w:sz w:val="28"/>
          <w:szCs w:val="28"/>
        </w:rPr>
        <w:t xml:space="preserve">еловек </w:t>
      </w:r>
    </w:p>
    <w:p w:rsidR="00652569" w:rsidRPr="003C15CB" w:rsidRDefault="00527CAC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5CB">
        <w:rPr>
          <w:rFonts w:ascii="Times New Roman" w:hAnsi="Times New Roman" w:cs="Times New Roman"/>
          <w:sz w:val="28"/>
          <w:szCs w:val="28"/>
        </w:rPr>
        <w:t>в</w:t>
      </w:r>
      <w:r w:rsidR="00652569" w:rsidRPr="003C15CB">
        <w:rPr>
          <w:rFonts w:ascii="Times New Roman" w:hAnsi="Times New Roman" w:cs="Times New Roman"/>
          <w:sz w:val="28"/>
          <w:szCs w:val="28"/>
        </w:rPr>
        <w:t xml:space="preserve"> МБУК «Театр оперетты» и МБУК театр кукол «Золотой ключик» осуществлена постановка </w:t>
      </w:r>
      <w:r w:rsidR="007D7947">
        <w:rPr>
          <w:rFonts w:ascii="Times New Roman" w:hAnsi="Times New Roman" w:cs="Times New Roman"/>
          <w:sz w:val="28"/>
          <w:szCs w:val="28"/>
        </w:rPr>
        <w:t>8</w:t>
      </w:r>
      <w:r w:rsidR="00652569" w:rsidRPr="003C15CB">
        <w:rPr>
          <w:rFonts w:ascii="Times New Roman" w:hAnsi="Times New Roman" w:cs="Times New Roman"/>
          <w:sz w:val="28"/>
          <w:szCs w:val="28"/>
        </w:rPr>
        <w:t xml:space="preserve"> новых спектаклей;</w:t>
      </w:r>
    </w:p>
    <w:p w:rsidR="00652569" w:rsidRPr="009F7AB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ABB">
        <w:rPr>
          <w:rFonts w:ascii="Times New Roman" w:hAnsi="Times New Roman" w:cs="Times New Roman"/>
          <w:sz w:val="28"/>
          <w:szCs w:val="28"/>
        </w:rPr>
        <w:t xml:space="preserve">число обучающихся в детских школах искусств составило – </w:t>
      </w:r>
      <w:r w:rsidR="00544545" w:rsidRPr="009F7ABB">
        <w:rPr>
          <w:rFonts w:ascii="Times New Roman" w:hAnsi="Times New Roman" w:cs="Times New Roman"/>
          <w:sz w:val="28"/>
          <w:szCs w:val="28"/>
        </w:rPr>
        <w:t>4</w:t>
      </w:r>
      <w:r w:rsidRPr="009F7ABB">
        <w:rPr>
          <w:rFonts w:ascii="Times New Roman" w:hAnsi="Times New Roman" w:cs="Times New Roman"/>
          <w:sz w:val="28"/>
          <w:szCs w:val="28"/>
        </w:rPr>
        <w:t>,</w:t>
      </w:r>
      <w:r w:rsidR="00544545" w:rsidRPr="009F7ABB">
        <w:rPr>
          <w:rFonts w:ascii="Times New Roman" w:hAnsi="Times New Roman" w:cs="Times New Roman"/>
          <w:sz w:val="28"/>
          <w:szCs w:val="28"/>
        </w:rPr>
        <w:t>7</w:t>
      </w:r>
      <w:r w:rsidRPr="009F7ABB">
        <w:rPr>
          <w:rFonts w:ascii="Times New Roman" w:hAnsi="Times New Roman" w:cs="Times New Roman"/>
          <w:sz w:val="28"/>
          <w:szCs w:val="28"/>
        </w:rPr>
        <w:t xml:space="preserve"> тыс.</w:t>
      </w:r>
      <w:r w:rsidR="00697C86" w:rsidRPr="009F7ABB">
        <w:rPr>
          <w:rFonts w:ascii="Times New Roman" w:hAnsi="Times New Roman" w:cs="Times New Roman"/>
          <w:sz w:val="28"/>
          <w:szCs w:val="28"/>
        </w:rPr>
        <w:t xml:space="preserve"> </w:t>
      </w:r>
      <w:r w:rsidRPr="009F7ABB">
        <w:rPr>
          <w:rFonts w:ascii="Times New Roman" w:hAnsi="Times New Roman" w:cs="Times New Roman"/>
          <w:sz w:val="28"/>
          <w:szCs w:val="28"/>
        </w:rPr>
        <w:t>человек</w:t>
      </w:r>
      <w:r w:rsidR="009F7ABB" w:rsidRPr="009F7ABB">
        <w:rPr>
          <w:rFonts w:ascii="Times New Roman" w:hAnsi="Times New Roman" w:cs="Times New Roman"/>
          <w:sz w:val="28"/>
          <w:szCs w:val="28"/>
        </w:rPr>
        <w:t>;</w:t>
      </w:r>
      <w:r w:rsidRPr="009F7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569" w:rsidRPr="00B13610" w:rsidRDefault="00B13610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программы осуществляется за счет средств местного бюджета, а также субсидий, предоставляемых </w:t>
      </w:r>
      <w:proofErr w:type="gram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и краевого бюджетов. </w:t>
      </w:r>
    </w:p>
    <w:p w:rsidR="00C93B31" w:rsidRPr="00B13610" w:rsidRDefault="00783C3A" w:rsidP="00783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EB1199" w:rsidRPr="00B13610">
        <w:rPr>
          <w:rFonts w:ascii="Times New Roman" w:hAnsi="Times New Roman" w:cs="Times New Roman"/>
          <w:sz w:val="28"/>
          <w:szCs w:val="28"/>
        </w:rPr>
        <w:t>субсидии</w:t>
      </w:r>
      <w:r w:rsidR="005B58DB" w:rsidRPr="00B13610">
        <w:rPr>
          <w:rFonts w:ascii="Times New Roman" w:hAnsi="Times New Roman" w:cs="Times New Roman"/>
          <w:sz w:val="28"/>
          <w:szCs w:val="28"/>
        </w:rPr>
        <w:t xml:space="preserve"> из федерального/краевого бюджетов</w:t>
      </w:r>
    </w:p>
    <w:tbl>
      <w:tblPr>
        <w:tblStyle w:val="a3"/>
        <w:tblW w:w="10348" w:type="dxa"/>
        <w:tblInd w:w="392" w:type="dxa"/>
        <w:tblLook w:val="04A0"/>
      </w:tblPr>
      <w:tblGrid>
        <w:gridCol w:w="4111"/>
        <w:gridCol w:w="2693"/>
        <w:gridCol w:w="3544"/>
      </w:tblGrid>
      <w:tr w:rsidR="0000771A" w:rsidRPr="00176E9C" w:rsidTr="007D7947">
        <w:tc>
          <w:tcPr>
            <w:tcW w:w="4111" w:type="dxa"/>
          </w:tcPr>
          <w:p w:rsidR="00176E9C" w:rsidRPr="00E256BE" w:rsidRDefault="00176E9C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C3A" w:rsidRPr="00E256BE" w:rsidRDefault="00783C3A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93" w:type="dxa"/>
          </w:tcPr>
          <w:p w:rsidR="00176E9C" w:rsidRPr="00E256BE" w:rsidRDefault="00176E9C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C3A" w:rsidRPr="00E256BE" w:rsidRDefault="00783C3A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1F2DD4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3544" w:type="dxa"/>
          </w:tcPr>
          <w:p w:rsidR="00176E9C" w:rsidRPr="00E256BE" w:rsidRDefault="00176E9C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C3A" w:rsidRPr="00E256BE" w:rsidRDefault="00783C3A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  <w:p w:rsidR="00176E9C" w:rsidRPr="00E256BE" w:rsidRDefault="00176E9C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71A" w:rsidRPr="00870660" w:rsidTr="007D7947">
        <w:tc>
          <w:tcPr>
            <w:tcW w:w="4111" w:type="dxa"/>
          </w:tcPr>
          <w:p w:rsidR="00783C3A" w:rsidRPr="00E256BE" w:rsidRDefault="00872CF4" w:rsidP="00DC7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2693" w:type="dxa"/>
          </w:tcPr>
          <w:p w:rsidR="00783C3A" w:rsidRPr="00E256BE" w:rsidRDefault="00B749B0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255 100,00</w:t>
            </w:r>
          </w:p>
          <w:p w:rsidR="00B22755" w:rsidRPr="00E256BE" w:rsidRDefault="004F5F41" w:rsidP="007D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(краевые</w:t>
            </w:r>
            <w:r w:rsidR="0055447F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F2DD4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168 </w:t>
            </w:r>
            <w:r w:rsidR="00D00548" w:rsidRPr="00E256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F2DD4" w:rsidRPr="00E256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2DD4" w:rsidRPr="00E256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F2CB7" w:rsidRPr="00E256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D7947">
              <w:rPr>
                <w:rFonts w:ascii="Times New Roman" w:hAnsi="Times New Roman" w:cs="Times New Roman"/>
                <w:sz w:val="20"/>
                <w:szCs w:val="20"/>
              </w:rPr>
              <w:t>, местные -56 300,00</w:t>
            </w:r>
            <w:r w:rsidR="00CF2CB7" w:rsidRPr="00E256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</w:tcPr>
          <w:p w:rsidR="00783C3A" w:rsidRPr="00E256BE" w:rsidRDefault="00872CF4" w:rsidP="00CF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</w:t>
            </w:r>
            <w:r w:rsidR="00CA3E83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(приобретено </w:t>
            </w:r>
            <w:r w:rsidR="00CF2CB7" w:rsidRPr="00E256BE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  <w:r w:rsidR="00CA3E83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экз. книг)</w:t>
            </w:r>
          </w:p>
        </w:tc>
      </w:tr>
      <w:tr w:rsidR="00C81AEE" w:rsidRPr="00870660" w:rsidTr="007D7947">
        <w:tc>
          <w:tcPr>
            <w:tcW w:w="4111" w:type="dxa"/>
          </w:tcPr>
          <w:p w:rsidR="00C81AEE" w:rsidRPr="00E256BE" w:rsidRDefault="00C81AEE" w:rsidP="00697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(модернизация муниципальных библиотек в части комп</w:t>
            </w:r>
            <w:r w:rsidR="00697C86" w:rsidRPr="00E256B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ектования книжных фондов)</w:t>
            </w:r>
          </w:p>
        </w:tc>
        <w:tc>
          <w:tcPr>
            <w:tcW w:w="2693" w:type="dxa"/>
          </w:tcPr>
          <w:p w:rsidR="00C81AEE" w:rsidRPr="00E256BE" w:rsidRDefault="00CF2CB7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749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749B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00658" w:rsidRPr="00E256BE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proofErr w:type="gramEnd"/>
          </w:p>
          <w:p w:rsidR="00C81AEE" w:rsidRPr="00E256BE" w:rsidRDefault="00100658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104 294</w:t>
            </w:r>
            <w:r w:rsidR="00D00548" w:rsidRPr="00E256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C81AEE" w:rsidRPr="00E256BE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краевые 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42 605</w:t>
            </w:r>
            <w:r w:rsidR="00D00548" w:rsidRPr="00E256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D7947">
              <w:rPr>
                <w:rFonts w:ascii="Times New Roman" w:hAnsi="Times New Roman" w:cs="Times New Roman"/>
                <w:sz w:val="20"/>
                <w:szCs w:val="20"/>
              </w:rPr>
              <w:t xml:space="preserve"> местные – 2 240,00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81AEE" w:rsidRPr="00E256BE" w:rsidRDefault="00D00548" w:rsidP="0010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:rsidR="00C81AEE" w:rsidRPr="00E256BE" w:rsidRDefault="00253C13" w:rsidP="00CF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</w:t>
            </w:r>
            <w:r w:rsidR="00CA3E83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(приобретено </w:t>
            </w:r>
            <w:r w:rsidR="00CF2CB7" w:rsidRPr="00E256BE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="00CA3E83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экз. книг)</w:t>
            </w:r>
          </w:p>
        </w:tc>
      </w:tr>
      <w:tr w:rsidR="00651380" w:rsidRPr="00870660" w:rsidTr="007D7947">
        <w:tc>
          <w:tcPr>
            <w:tcW w:w="4111" w:type="dxa"/>
          </w:tcPr>
          <w:p w:rsidR="00651380" w:rsidRPr="00E256BE" w:rsidRDefault="006B1529" w:rsidP="00DC7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      </w:r>
          </w:p>
        </w:tc>
        <w:tc>
          <w:tcPr>
            <w:tcW w:w="2693" w:type="dxa"/>
          </w:tcPr>
          <w:p w:rsidR="00651380" w:rsidRPr="00E256BE" w:rsidRDefault="00B749B0" w:rsidP="0010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10 599 444</w:t>
            </w:r>
            <w:r w:rsidR="00DF604B" w:rsidRPr="00E256B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00658" w:rsidRPr="00E256BE" w:rsidRDefault="0045722B" w:rsidP="0010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r w:rsidR="00EE234F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6 772 998,64</w:t>
            </w:r>
            <w:proofErr w:type="gramEnd"/>
          </w:p>
          <w:p w:rsidR="00F144A0" w:rsidRPr="00E256BE" w:rsidRDefault="00F144A0" w:rsidP="0010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краевые – 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2 766 445,36</w:t>
            </w:r>
            <w:r w:rsidR="007D7947">
              <w:rPr>
                <w:rFonts w:ascii="Times New Roman" w:hAnsi="Times New Roman" w:cs="Times New Roman"/>
                <w:sz w:val="20"/>
                <w:szCs w:val="20"/>
              </w:rPr>
              <w:t xml:space="preserve"> местные – 1 060 000,00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722B" w:rsidRPr="00E256BE" w:rsidRDefault="0045722B" w:rsidP="0010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380" w:rsidRPr="00E256BE" w:rsidRDefault="006B1529" w:rsidP="00B74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 w:rsidR="00C447AE" w:rsidRPr="00E256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новка </w:t>
            </w:r>
            <w:r w:rsidR="00B749B0">
              <w:rPr>
                <w:rFonts w:ascii="Times New Roman" w:hAnsi="Times New Roman" w:cs="Times New Roman"/>
                <w:sz w:val="20"/>
                <w:szCs w:val="20"/>
              </w:rPr>
              <w:t xml:space="preserve">новых </w:t>
            </w:r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спектаклей </w:t>
            </w:r>
            <w:r w:rsidR="00B749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("Пиковая дама", "Золотая антилопа", "Ревизор" и спектакль: "Осторожно! Женская логика") и Т</w:t>
            </w:r>
            <w:proofErr w:type="gramStart"/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="00100658"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("Золушка", "Бабкина сказка: Машенька и Медведь", "Золотой цыпленок", "Нос")</w:t>
            </w:r>
            <w:proofErr w:type="gramStart"/>
            <w:r w:rsidRPr="00E25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9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B749B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звукового оборудования</w:t>
            </w:r>
          </w:p>
        </w:tc>
      </w:tr>
    </w:tbl>
    <w:p w:rsidR="006A1239" w:rsidRPr="00870660" w:rsidRDefault="006A1239" w:rsidP="006A123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83C3A" w:rsidRPr="00870660" w:rsidRDefault="006A1239" w:rsidP="006A12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660">
        <w:rPr>
          <w:rFonts w:ascii="Times New Roman" w:hAnsi="Times New Roman"/>
          <w:sz w:val="28"/>
          <w:szCs w:val="28"/>
        </w:rPr>
        <w:t xml:space="preserve">Также </w:t>
      </w:r>
      <w:r w:rsidR="00CF2CB7">
        <w:rPr>
          <w:rFonts w:ascii="Times New Roman" w:hAnsi="Times New Roman"/>
          <w:sz w:val="28"/>
          <w:szCs w:val="28"/>
        </w:rPr>
        <w:t>МБУК ЦГБ им. М</w:t>
      </w:r>
      <w:r w:rsidR="007D7947">
        <w:rPr>
          <w:rFonts w:ascii="Times New Roman" w:hAnsi="Times New Roman"/>
          <w:sz w:val="28"/>
          <w:szCs w:val="28"/>
        </w:rPr>
        <w:t>.</w:t>
      </w:r>
      <w:r w:rsidR="00CF2CB7">
        <w:rPr>
          <w:rFonts w:ascii="Times New Roman" w:hAnsi="Times New Roman"/>
          <w:sz w:val="28"/>
          <w:szCs w:val="28"/>
        </w:rPr>
        <w:t xml:space="preserve"> </w:t>
      </w:r>
      <w:r w:rsidR="00C146F3">
        <w:rPr>
          <w:rFonts w:ascii="Times New Roman" w:hAnsi="Times New Roman"/>
          <w:sz w:val="28"/>
          <w:szCs w:val="28"/>
        </w:rPr>
        <w:t xml:space="preserve">Горького </w:t>
      </w:r>
      <w:r w:rsidR="00FA3AEF" w:rsidRPr="00870660">
        <w:rPr>
          <w:rFonts w:ascii="Times New Roman" w:hAnsi="Times New Roman"/>
          <w:sz w:val="28"/>
          <w:szCs w:val="28"/>
        </w:rPr>
        <w:t xml:space="preserve">получили </w:t>
      </w:r>
      <w:proofErr w:type="spellStart"/>
      <w:r w:rsidR="00FA3AEF" w:rsidRPr="00870660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FA3AEF" w:rsidRPr="00870660">
        <w:rPr>
          <w:rFonts w:ascii="Times New Roman" w:hAnsi="Times New Roman"/>
          <w:sz w:val="28"/>
          <w:szCs w:val="28"/>
        </w:rPr>
        <w:t xml:space="preserve"> поддержку за победу </w:t>
      </w:r>
      <w:r w:rsidR="00E237C5">
        <w:rPr>
          <w:rFonts w:ascii="Times New Roman" w:hAnsi="Times New Roman"/>
          <w:sz w:val="28"/>
          <w:szCs w:val="28"/>
        </w:rPr>
        <w:t>в бл</w:t>
      </w:r>
      <w:r w:rsidR="00CF2CB7">
        <w:rPr>
          <w:rFonts w:ascii="Times New Roman" w:hAnsi="Times New Roman"/>
          <w:sz w:val="28"/>
          <w:szCs w:val="28"/>
        </w:rPr>
        <w:t>а</w:t>
      </w:r>
      <w:r w:rsidR="00E237C5">
        <w:rPr>
          <w:rFonts w:ascii="Times New Roman" w:hAnsi="Times New Roman"/>
          <w:sz w:val="28"/>
          <w:szCs w:val="28"/>
        </w:rPr>
        <w:t>готвори</w:t>
      </w:r>
      <w:r w:rsidR="00CF2CB7">
        <w:rPr>
          <w:rFonts w:ascii="Times New Roman" w:hAnsi="Times New Roman"/>
          <w:sz w:val="28"/>
          <w:szCs w:val="28"/>
        </w:rPr>
        <w:t>тельном</w:t>
      </w:r>
      <w:r w:rsidR="00E237C5">
        <w:rPr>
          <w:rFonts w:ascii="Times New Roman" w:hAnsi="Times New Roman"/>
          <w:sz w:val="28"/>
          <w:szCs w:val="28"/>
        </w:rPr>
        <w:t xml:space="preserve"> </w:t>
      </w:r>
      <w:r w:rsidR="00FA3AEF" w:rsidRPr="00870660">
        <w:rPr>
          <w:rFonts w:ascii="Times New Roman" w:hAnsi="Times New Roman"/>
          <w:sz w:val="28"/>
          <w:szCs w:val="28"/>
        </w:rPr>
        <w:t xml:space="preserve">конкурсе </w:t>
      </w:r>
      <w:r w:rsidR="00CF2CB7">
        <w:rPr>
          <w:rFonts w:ascii="Times New Roman" w:hAnsi="Times New Roman"/>
          <w:sz w:val="28"/>
          <w:szCs w:val="28"/>
        </w:rPr>
        <w:t>Топ</w:t>
      </w:r>
      <w:r w:rsidR="00E237C5">
        <w:rPr>
          <w:rFonts w:ascii="Times New Roman" w:hAnsi="Times New Roman"/>
          <w:sz w:val="28"/>
          <w:szCs w:val="28"/>
        </w:rPr>
        <w:t xml:space="preserve"> </w:t>
      </w:r>
      <w:r w:rsidR="007D7947">
        <w:rPr>
          <w:rFonts w:ascii="Times New Roman" w:hAnsi="Times New Roman"/>
          <w:sz w:val="28"/>
          <w:szCs w:val="28"/>
        </w:rPr>
        <w:t xml:space="preserve">- </w:t>
      </w:r>
      <w:r w:rsidR="00CF2CB7">
        <w:rPr>
          <w:rFonts w:ascii="Times New Roman" w:hAnsi="Times New Roman"/>
          <w:sz w:val="28"/>
          <w:szCs w:val="28"/>
        </w:rPr>
        <w:t xml:space="preserve">«ГХК» </w:t>
      </w:r>
      <w:r w:rsidR="00FA3AEF" w:rsidRPr="00870660">
        <w:rPr>
          <w:rFonts w:ascii="Times New Roman" w:hAnsi="Times New Roman"/>
          <w:sz w:val="28"/>
          <w:szCs w:val="28"/>
        </w:rPr>
        <w:t>«</w:t>
      </w:r>
      <w:r w:rsidR="00CF2CB7">
        <w:rPr>
          <w:rFonts w:ascii="Times New Roman" w:hAnsi="Times New Roman"/>
          <w:sz w:val="28"/>
          <w:szCs w:val="28"/>
        </w:rPr>
        <w:t>Преображая жизнь</w:t>
      </w:r>
      <w:r w:rsidR="00FA3AEF" w:rsidRPr="00870660">
        <w:rPr>
          <w:rFonts w:ascii="Times New Roman" w:hAnsi="Times New Roman"/>
          <w:sz w:val="28"/>
          <w:szCs w:val="28"/>
        </w:rPr>
        <w:t xml:space="preserve">» </w:t>
      </w:r>
      <w:r w:rsidR="00CF2CB7">
        <w:rPr>
          <w:rFonts w:ascii="Times New Roman" w:hAnsi="Times New Roman"/>
          <w:sz w:val="28"/>
          <w:szCs w:val="28"/>
        </w:rPr>
        <w:t xml:space="preserve">в сумме </w:t>
      </w:r>
      <w:r w:rsidR="00FA3AEF" w:rsidRPr="00870660">
        <w:rPr>
          <w:rFonts w:ascii="Times New Roman" w:hAnsi="Times New Roman"/>
          <w:sz w:val="28"/>
          <w:szCs w:val="28"/>
        </w:rPr>
        <w:t>(</w:t>
      </w:r>
      <w:r w:rsidR="00CF2CB7">
        <w:rPr>
          <w:rFonts w:ascii="Times New Roman" w:hAnsi="Times New Roman"/>
          <w:sz w:val="28"/>
          <w:szCs w:val="28"/>
        </w:rPr>
        <w:t>484 999</w:t>
      </w:r>
      <w:r w:rsidR="00FA3AEF" w:rsidRPr="00870660">
        <w:rPr>
          <w:rFonts w:ascii="Times New Roman" w:hAnsi="Times New Roman"/>
          <w:sz w:val="28"/>
          <w:szCs w:val="28"/>
        </w:rPr>
        <w:t>,</w:t>
      </w:r>
      <w:r w:rsidR="00CF2CB7">
        <w:rPr>
          <w:rFonts w:ascii="Times New Roman" w:hAnsi="Times New Roman"/>
          <w:sz w:val="28"/>
          <w:szCs w:val="28"/>
        </w:rPr>
        <w:t>00 руб.</w:t>
      </w:r>
      <w:proofErr w:type="gramEnd"/>
    </w:p>
    <w:tbl>
      <w:tblPr>
        <w:tblW w:w="10647" w:type="dxa"/>
        <w:tblInd w:w="93" w:type="dxa"/>
        <w:tblLook w:val="04A0"/>
      </w:tblPr>
      <w:tblGrid>
        <w:gridCol w:w="2283"/>
        <w:gridCol w:w="1418"/>
        <w:gridCol w:w="699"/>
        <w:gridCol w:w="577"/>
        <w:gridCol w:w="1622"/>
        <w:gridCol w:w="4048"/>
      </w:tblGrid>
      <w:tr w:rsidR="009E20D9" w:rsidRPr="00870660" w:rsidTr="008D2502">
        <w:trPr>
          <w:trHeight w:val="544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A85" w:rsidRDefault="008B5A85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5A85" w:rsidRDefault="008B5A85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5A85" w:rsidRDefault="008B5A85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56BE" w:rsidRDefault="00E256BE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284D" w:rsidRDefault="0046284D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0D9" w:rsidRPr="00870660" w:rsidRDefault="009E20D9" w:rsidP="00C14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расходы по текущему ремонту за 20</w:t>
            </w:r>
            <w:r w:rsidR="00C14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870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E20D9" w:rsidRPr="00870660" w:rsidTr="00E256BE">
        <w:trPr>
          <w:trHeight w:val="394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E516A7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0D9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B4C83" w:rsidRPr="00E516A7" w:rsidRDefault="00BB4C83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0D9" w:rsidRPr="00BA5DE4" w:rsidTr="00E256BE">
        <w:trPr>
          <w:trHeight w:val="34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Приносящая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деят-ть</w:t>
            </w:r>
            <w:proofErr w:type="spellEnd"/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Краткое наименование</w:t>
            </w:r>
          </w:p>
        </w:tc>
      </w:tr>
      <w:tr w:rsidR="009E20D9" w:rsidRPr="00870660" w:rsidTr="00E256BE">
        <w:trPr>
          <w:trHeight w:val="679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20D9" w:rsidRPr="00870660" w:rsidTr="00E256BE">
        <w:trPr>
          <w:trHeight w:val="325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«Центр досуга»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C146F3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197 000,00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8B5A85" w:rsidP="00BA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361 612</w:t>
            </w:r>
            <w:r w:rsidR="009E20D9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C83" w:rsidRDefault="00C146F3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000,0руб.-ремонт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дискозала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пр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енинградский, 37; </w:t>
            </w:r>
          </w:p>
          <w:p w:rsidR="009E20D9" w:rsidRPr="00E256BE" w:rsidRDefault="00C146F3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12000,21руб.-ремонтные работы по укреплению витражей по адресу: пр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енинградский, 37; 8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182,04руб.-ремонт трубопровода холодной воды в ДК "Старт"; 236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530,0руб.-ремонт помещений кабинета № 202 и санузла по адресу: пр.Ленинградский, 37; 29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900,0руб.-ремонт коридора библиотеки  по адресу: пр. Ленинградский, 37; 75000,0руб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по обследованию технического состояния несущих и ограждающих строительных конструкций</w:t>
            </w:r>
          </w:p>
        </w:tc>
      </w:tr>
      <w:tr w:rsidR="009E20D9" w:rsidRPr="00870660" w:rsidTr="00E256BE">
        <w:trPr>
          <w:trHeight w:val="72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«Дворец культуры»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8B5A85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595 194, 00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E256BE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BB4C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7841,14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DE4" w:rsidRPr="00E256BE" w:rsidRDefault="00BA5DE4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служебного помещения кабинет № 24 (студии звукозаписи) ул. Ленина, дом 23.</w:t>
            </w:r>
          </w:p>
          <w:p w:rsidR="00BA5DE4" w:rsidRPr="00E256BE" w:rsidRDefault="00BA5DE4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лаком паркетной основы полов в фойе 2 и 3 этажей и в кулуарах при входе в зрительный зал  ул. Ленина, дом 23.</w:t>
            </w:r>
          </w:p>
          <w:p w:rsidR="009E20D9" w:rsidRPr="00E256BE" w:rsidRDefault="00BA5DE4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  <w:r w:rsidR="00BB1E61"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ремонт: усиление перемычки, восстановление обшивки в здании клуба "Росинка"</w:t>
            </w:r>
          </w:p>
        </w:tc>
      </w:tr>
      <w:tr w:rsidR="00BB1E61" w:rsidRPr="00870660" w:rsidTr="00E256BE">
        <w:trPr>
          <w:trHeight w:val="150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Театр кукол «Золотой ключик»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6F52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294 195,60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BB4C8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BB4C8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E61" w:rsidRPr="00E256BE" w:rsidRDefault="00BB1E61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188 839,20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пожаротушения; 98 356,40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руб.-ремонтно-отделочных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(фойе, гардероб); 7000,0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руб.-огнезащитная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обработка деревянных декораций</w:t>
            </w:r>
          </w:p>
          <w:p w:rsidR="00BB1E61" w:rsidRPr="00E256BE" w:rsidRDefault="00BB1E61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E61" w:rsidRPr="00870660" w:rsidTr="00E256BE">
        <w:trPr>
          <w:trHeight w:val="2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ЦГБ им.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6F52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597 383,32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6F52A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E61" w:rsidRPr="00E256BE" w:rsidRDefault="00BB1E61" w:rsidP="00BB4C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554 277,34руб.-текущий ремонт зала по адресу: ул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рупская, 8; </w:t>
            </w:r>
          </w:p>
          <w:p w:rsidR="00BB1E61" w:rsidRPr="00E256BE" w:rsidRDefault="00BB1E61" w:rsidP="00BB4C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43 105,98руб.- услуги по исследованию состояния огнезащитной обработки деревянных конструкций кровли (ул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рупской8, пр.Курчатова11, ул. Толстого, 19) услуги по исследованию состояния сетей внутреннего противопожарного водопровода (ул.Крупской8, ул.Свердлова51а, ул. Толстого, 19) по испытанию наружных пожарных лестниц и ограждений кровли (ул.Крупской8, пр.Курчатова119)</w:t>
            </w:r>
          </w:p>
        </w:tc>
      </w:tr>
      <w:tr w:rsidR="00BB1E61" w:rsidRPr="00870660" w:rsidTr="00E256BE">
        <w:trPr>
          <w:trHeight w:val="11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E61" w:rsidRPr="00E256BE" w:rsidRDefault="00BB1E61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МАУК «ПКиО»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E61" w:rsidRPr="00E256BE" w:rsidRDefault="00BB1E61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558 627,01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E61" w:rsidRPr="00E256BE" w:rsidRDefault="00BB1E61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E61" w:rsidRPr="00E256BE" w:rsidRDefault="00BB1E61" w:rsidP="00630F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E61" w:rsidRPr="00E256BE" w:rsidRDefault="00BB1E61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37915,14руб.-Работы по текущему ремонту освещения в танцевальном зале в здании пристройки клуба "Спутник"; 120018,53руб. -Выборочный ремонт кровли здания пристройка клуба "Спутник" ул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арковая, 5; 106978,59руб- Работы по текущему ремонту оконного проема входной группы паркетного зала ТКЗ (работы по зашивки проема оконного и облицовки зеркалами); 293714,75руб.- Работы по текущему ремонту помещения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звукооператорной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согласно пожарной безопасности (устранению нарушения пожарной безопасности)</w:t>
            </w:r>
          </w:p>
        </w:tc>
      </w:tr>
      <w:tr w:rsidR="00E256BE" w:rsidRPr="00870660" w:rsidTr="00E256BE">
        <w:trPr>
          <w:trHeight w:val="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6BE" w:rsidRPr="00E256BE" w:rsidRDefault="00E256BE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МБУ ДО «ДХШ»</w:t>
            </w:r>
          </w:p>
          <w:p w:rsidR="00E256BE" w:rsidRPr="00E256BE" w:rsidRDefault="00E256BE" w:rsidP="00E256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6F5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30 350,42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E2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E2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56 695,30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BE" w:rsidRPr="00E256BE" w:rsidRDefault="00E256BE" w:rsidP="00BB4C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87045,72руб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санузла</w:t>
            </w:r>
          </w:p>
        </w:tc>
      </w:tr>
      <w:tr w:rsidR="00E256BE" w:rsidRPr="00870660" w:rsidTr="00F77EDC">
        <w:trPr>
          <w:trHeight w:val="26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6BE" w:rsidRPr="00E256BE" w:rsidRDefault="00E256BE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«ДШИ им. М.П. Мусоргского»</w:t>
            </w:r>
          </w:p>
          <w:p w:rsidR="00E256BE" w:rsidRPr="00E256BE" w:rsidRDefault="00E256BE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1 599 363,08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256BE" w:rsidRPr="00E256BE" w:rsidRDefault="00E256BE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598999,90руб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текущему ремонту - концертного зала (кабинет № 7)  в здании по адресу г. Железногорск, ул. Ленина, д.31;</w:t>
            </w:r>
          </w:p>
          <w:p w:rsidR="00E256BE" w:rsidRPr="00E256BE" w:rsidRDefault="00E256BE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коридора подвала в здании по адресу г. Железногорск, ул. Андреева, д.14,; 366619,98руб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текущему ремонту оконных блоков в здании по адресу г. Железногорск, ул. Ленина, д.31А,; 35000,00руб.- Работы по замене входных дверей библиотеки (установка противопожарных дверей) в рамках проведения текущего ремонта 598743,20 </w:t>
            </w:r>
            <w:proofErr w:type="spell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spell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текущему ремонту - замена в рамках текущего ремонта оконных блоков в здании по адресу г. Железногорск, ул. Ленина, д.31А,- текущий ремонт помещений в кабинетах № 2, 3, 15 в здании по адресу г. Железногорск, Ленинградский проспект, 45,</w:t>
            </w:r>
          </w:p>
        </w:tc>
      </w:tr>
      <w:tr w:rsidR="00E256BE" w:rsidRPr="00870660" w:rsidTr="00E256BE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6BE" w:rsidRPr="00870660" w:rsidRDefault="00E256BE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«ДШИ 2»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870660" w:rsidRDefault="00E256BE" w:rsidP="00E2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43 110,00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870660" w:rsidRDefault="00E256BE" w:rsidP="00E2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6BE" w:rsidRPr="00E256BE" w:rsidRDefault="00E256BE" w:rsidP="00E2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BE" w:rsidRPr="00870660" w:rsidRDefault="00E256BE" w:rsidP="00B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43110,00руб</w:t>
            </w:r>
            <w:proofErr w:type="gramStart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E25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рамках текущего ремонта сантехнические работы (демонтаж/монтаж смесителя, умывальника, унитаза)</w:t>
            </w:r>
          </w:p>
        </w:tc>
      </w:tr>
    </w:tbl>
    <w:p w:rsidR="007E648E" w:rsidRPr="00870660" w:rsidRDefault="007E648E" w:rsidP="0042362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7E648E" w:rsidRPr="00870660" w:rsidSect="007E648E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459"/>
    <w:multiLevelType w:val="hybridMultilevel"/>
    <w:tmpl w:val="4830DD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426963"/>
    <w:multiLevelType w:val="hybridMultilevel"/>
    <w:tmpl w:val="6E0E7B94"/>
    <w:lvl w:ilvl="0" w:tplc="D368B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0C7F34"/>
    <w:multiLevelType w:val="hybridMultilevel"/>
    <w:tmpl w:val="30BE3A8C"/>
    <w:lvl w:ilvl="0" w:tplc="A10859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C3A"/>
    <w:rsid w:val="000029DC"/>
    <w:rsid w:val="0000771A"/>
    <w:rsid w:val="00010BA7"/>
    <w:rsid w:val="00040CD7"/>
    <w:rsid w:val="00063858"/>
    <w:rsid w:val="00066643"/>
    <w:rsid w:val="000719CF"/>
    <w:rsid w:val="00086D67"/>
    <w:rsid w:val="000A0974"/>
    <w:rsid w:val="000A180F"/>
    <w:rsid w:val="000D146F"/>
    <w:rsid w:val="000D77F2"/>
    <w:rsid w:val="000E1965"/>
    <w:rsid w:val="000E20CF"/>
    <w:rsid w:val="000E55B1"/>
    <w:rsid w:val="00100658"/>
    <w:rsid w:val="001044C9"/>
    <w:rsid w:val="001132A3"/>
    <w:rsid w:val="0011543A"/>
    <w:rsid w:val="001551E2"/>
    <w:rsid w:val="001709BB"/>
    <w:rsid w:val="00170E20"/>
    <w:rsid w:val="00176E9C"/>
    <w:rsid w:val="001842C4"/>
    <w:rsid w:val="0018463D"/>
    <w:rsid w:val="001873C6"/>
    <w:rsid w:val="001B6063"/>
    <w:rsid w:val="001C4C09"/>
    <w:rsid w:val="001E339C"/>
    <w:rsid w:val="001F1E50"/>
    <w:rsid w:val="001F2DD4"/>
    <w:rsid w:val="001F4A21"/>
    <w:rsid w:val="00210D02"/>
    <w:rsid w:val="00214830"/>
    <w:rsid w:val="00240800"/>
    <w:rsid w:val="00253C13"/>
    <w:rsid w:val="00263700"/>
    <w:rsid w:val="00282FF2"/>
    <w:rsid w:val="002E18AE"/>
    <w:rsid w:val="00307F81"/>
    <w:rsid w:val="0031103D"/>
    <w:rsid w:val="00345717"/>
    <w:rsid w:val="00374170"/>
    <w:rsid w:val="0037659F"/>
    <w:rsid w:val="00380041"/>
    <w:rsid w:val="003C15CB"/>
    <w:rsid w:val="003F3118"/>
    <w:rsid w:val="003F53FE"/>
    <w:rsid w:val="0042362A"/>
    <w:rsid w:val="00450BCE"/>
    <w:rsid w:val="0045722B"/>
    <w:rsid w:val="0046284D"/>
    <w:rsid w:val="00474FEB"/>
    <w:rsid w:val="004B72F4"/>
    <w:rsid w:val="004E4DB1"/>
    <w:rsid w:val="004F5F41"/>
    <w:rsid w:val="005247B5"/>
    <w:rsid w:val="00527CAC"/>
    <w:rsid w:val="00543A9B"/>
    <w:rsid w:val="00544545"/>
    <w:rsid w:val="0055447F"/>
    <w:rsid w:val="005769B8"/>
    <w:rsid w:val="00581D0B"/>
    <w:rsid w:val="005B2C18"/>
    <w:rsid w:val="005B3E1D"/>
    <w:rsid w:val="005B58DB"/>
    <w:rsid w:val="005F75E9"/>
    <w:rsid w:val="00605886"/>
    <w:rsid w:val="00613999"/>
    <w:rsid w:val="006144DE"/>
    <w:rsid w:val="006252E1"/>
    <w:rsid w:val="00630F57"/>
    <w:rsid w:val="00651380"/>
    <w:rsid w:val="00652569"/>
    <w:rsid w:val="00697C86"/>
    <w:rsid w:val="006A1239"/>
    <w:rsid w:val="006B1529"/>
    <w:rsid w:val="006F7DB7"/>
    <w:rsid w:val="00702628"/>
    <w:rsid w:val="007613AD"/>
    <w:rsid w:val="00783C3A"/>
    <w:rsid w:val="007D3AB6"/>
    <w:rsid w:val="007D7947"/>
    <w:rsid w:val="007E648E"/>
    <w:rsid w:val="007F5BDC"/>
    <w:rsid w:val="00813F7D"/>
    <w:rsid w:val="008260CF"/>
    <w:rsid w:val="008277D2"/>
    <w:rsid w:val="00835A17"/>
    <w:rsid w:val="0084224F"/>
    <w:rsid w:val="00847541"/>
    <w:rsid w:val="00870660"/>
    <w:rsid w:val="00872CF4"/>
    <w:rsid w:val="008940EA"/>
    <w:rsid w:val="008B5A85"/>
    <w:rsid w:val="008C3CAE"/>
    <w:rsid w:val="008D1DA6"/>
    <w:rsid w:val="008D3DFB"/>
    <w:rsid w:val="008D4F9C"/>
    <w:rsid w:val="008E18ED"/>
    <w:rsid w:val="009000FC"/>
    <w:rsid w:val="00907145"/>
    <w:rsid w:val="00923D34"/>
    <w:rsid w:val="00934A96"/>
    <w:rsid w:val="00964F87"/>
    <w:rsid w:val="009B1630"/>
    <w:rsid w:val="009E20D9"/>
    <w:rsid w:val="009E443B"/>
    <w:rsid w:val="009E6B2D"/>
    <w:rsid w:val="009F7ABB"/>
    <w:rsid w:val="00A15FAD"/>
    <w:rsid w:val="00A351EE"/>
    <w:rsid w:val="00A54EAE"/>
    <w:rsid w:val="00A613AD"/>
    <w:rsid w:val="00A751F1"/>
    <w:rsid w:val="00A83374"/>
    <w:rsid w:val="00A83EEE"/>
    <w:rsid w:val="00AA118D"/>
    <w:rsid w:val="00AB355D"/>
    <w:rsid w:val="00AB7858"/>
    <w:rsid w:val="00AD3C07"/>
    <w:rsid w:val="00AD5DC4"/>
    <w:rsid w:val="00AE6B7A"/>
    <w:rsid w:val="00B02E36"/>
    <w:rsid w:val="00B13610"/>
    <w:rsid w:val="00B20F3B"/>
    <w:rsid w:val="00B2213D"/>
    <w:rsid w:val="00B22755"/>
    <w:rsid w:val="00B23880"/>
    <w:rsid w:val="00B307A4"/>
    <w:rsid w:val="00B700CB"/>
    <w:rsid w:val="00B749B0"/>
    <w:rsid w:val="00B91402"/>
    <w:rsid w:val="00BA2877"/>
    <w:rsid w:val="00BA4E6D"/>
    <w:rsid w:val="00BA5DE4"/>
    <w:rsid w:val="00BB1E61"/>
    <w:rsid w:val="00BB4C83"/>
    <w:rsid w:val="00BB599A"/>
    <w:rsid w:val="00BD0D88"/>
    <w:rsid w:val="00C11F2D"/>
    <w:rsid w:val="00C146F3"/>
    <w:rsid w:val="00C447AE"/>
    <w:rsid w:val="00C4579B"/>
    <w:rsid w:val="00C52C5E"/>
    <w:rsid w:val="00C773D2"/>
    <w:rsid w:val="00C81AEE"/>
    <w:rsid w:val="00C96E1C"/>
    <w:rsid w:val="00CA3E83"/>
    <w:rsid w:val="00CC5D4B"/>
    <w:rsid w:val="00CE558A"/>
    <w:rsid w:val="00CF2CB7"/>
    <w:rsid w:val="00D00548"/>
    <w:rsid w:val="00D11724"/>
    <w:rsid w:val="00D338E8"/>
    <w:rsid w:val="00D35309"/>
    <w:rsid w:val="00D512ED"/>
    <w:rsid w:val="00D63C5C"/>
    <w:rsid w:val="00D7501E"/>
    <w:rsid w:val="00D81260"/>
    <w:rsid w:val="00D837F0"/>
    <w:rsid w:val="00D925A5"/>
    <w:rsid w:val="00DC7AE1"/>
    <w:rsid w:val="00DE6756"/>
    <w:rsid w:val="00DF2833"/>
    <w:rsid w:val="00DF604B"/>
    <w:rsid w:val="00DF65B1"/>
    <w:rsid w:val="00E0183C"/>
    <w:rsid w:val="00E237C5"/>
    <w:rsid w:val="00E256BE"/>
    <w:rsid w:val="00E516A7"/>
    <w:rsid w:val="00E72A00"/>
    <w:rsid w:val="00E93D22"/>
    <w:rsid w:val="00EB1199"/>
    <w:rsid w:val="00EB63E9"/>
    <w:rsid w:val="00EB658F"/>
    <w:rsid w:val="00EE234F"/>
    <w:rsid w:val="00EF3593"/>
    <w:rsid w:val="00F144A0"/>
    <w:rsid w:val="00F174C5"/>
    <w:rsid w:val="00F24097"/>
    <w:rsid w:val="00F43883"/>
    <w:rsid w:val="00F45B9B"/>
    <w:rsid w:val="00F549F3"/>
    <w:rsid w:val="00F55FEE"/>
    <w:rsid w:val="00FA3AEF"/>
    <w:rsid w:val="00FC0357"/>
    <w:rsid w:val="00FC3251"/>
    <w:rsid w:val="00FD6206"/>
    <w:rsid w:val="00FE1C06"/>
    <w:rsid w:val="00F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00"/>
  </w:style>
  <w:style w:type="paragraph" w:styleId="1">
    <w:name w:val="heading 1"/>
    <w:basedOn w:val="a"/>
    <w:next w:val="a"/>
    <w:link w:val="10"/>
    <w:qFormat/>
    <w:rsid w:val="00010B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8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0B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F75E9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AE6B7A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AE6B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Иванова</cp:lastModifiedBy>
  <cp:revision>18</cp:revision>
  <cp:lastPrinted>2024-02-29T08:14:00Z</cp:lastPrinted>
  <dcterms:created xsi:type="dcterms:W3CDTF">2024-02-26T09:32:00Z</dcterms:created>
  <dcterms:modified xsi:type="dcterms:W3CDTF">2024-04-27T07:42:00Z</dcterms:modified>
</cp:coreProperties>
</file>