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3302D3">
        <w:rPr>
          <w:rFonts w:ascii="Times New Roman" w:hAnsi="Times New Roman"/>
          <w:color w:val="000000"/>
        </w:rPr>
        <w:t>72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6,2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A0537D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A0537D">
        <w:rPr>
          <w:rFonts w:ascii="Times New Roman" w:hAnsi="Times New Roman"/>
          <w:b/>
          <w:sz w:val="24"/>
          <w:szCs w:val="24"/>
          <w:u w:val="single"/>
        </w:rPr>
        <w:lastRenderedPageBreak/>
        <w:t>49,88</w:t>
      </w:r>
      <w:r w:rsidR="00D0624C" w:rsidRPr="00A0537D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A0537D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A0537D">
        <w:rPr>
          <w:rFonts w:ascii="Times New Roman" w:hAnsi="Times New Roman"/>
          <w:b/>
          <w:i/>
          <w:sz w:val="24"/>
          <w:szCs w:val="24"/>
          <w:u w:val="single"/>
        </w:rPr>
        <w:t>сорок девять р</w:t>
      </w:r>
      <w:r w:rsidR="00073BB8" w:rsidRPr="00A0537D">
        <w:rPr>
          <w:rFonts w:ascii="Times New Roman" w:hAnsi="Times New Roman"/>
          <w:b/>
          <w:i/>
          <w:sz w:val="24"/>
          <w:szCs w:val="24"/>
          <w:u w:val="single"/>
        </w:rPr>
        <w:t xml:space="preserve">ублей </w:t>
      </w:r>
      <w:r w:rsidRPr="00A0537D">
        <w:rPr>
          <w:rFonts w:ascii="Times New Roman" w:hAnsi="Times New Roman"/>
          <w:b/>
          <w:i/>
          <w:sz w:val="24"/>
          <w:szCs w:val="24"/>
          <w:u w:val="single"/>
        </w:rPr>
        <w:t>88</w:t>
      </w:r>
      <w:r w:rsidR="00073BB8" w:rsidRPr="00A0537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A0537D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D0624C" w:rsidRPr="00A0537D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10145F" w:rsidRDefault="0010145F" w:rsidP="0010145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 Рыночная стоимость нежилого здания, согласно отчету № 378/05/01 «Об оценке рыночной стоимости объекта оценки» Объект оценки: нежилое здание, общей площадью 1 756,5 кв.м., кадастровый номер 24:58:0000000:3358, расположенное по адресу: Красноярский край, ЗАТО Железногорск, г. Железногорск, ул. Восточная, 26А»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11 305 400,00 руб.</w:t>
      </w:r>
    </w:p>
    <w:p w:rsidR="0010145F" w:rsidRDefault="0010145F" w:rsidP="0010145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13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7C1B73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373.25pt;margin-top:258.35pt;width:18.15pt;height:17.55pt;flip:y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91.4pt;margin-top:339.15pt;width:20.65pt;height:16.2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373.25pt;margin-top:320.35pt;width:38.8pt;height:31.3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373.25pt;margin-top:300.3pt;width:38.8pt;height:33.8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373.25pt;margin-top:281.5pt;width:38.8pt;height:34.4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373.25pt;margin-top:258.35pt;width:38.8pt;height:35.65pt;flip:y;z-index:251666432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7C1B73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98648C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98648C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7C1B73" w:rsidP="00986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B44CC"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B44CC" w:rsidRPr="00F86BF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16,2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7,2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 xml:space="preserve">а 13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 xml:space="preserve">24:58:0306006:994, общей площадью 2026,0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13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Комната расположена на 2-м этаже нежилого здания. Вход из коридора общего пользования.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 xml:space="preserve">Земельный участок с кадастровым номером 24:58:0306006:994, общей площадью 2026,0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A0537D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55094539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C2F0D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4F" w:rsidRDefault="0015734F" w:rsidP="0049115E">
      <w:pPr>
        <w:spacing w:after="0" w:line="240" w:lineRule="auto"/>
      </w:pPr>
      <w:r>
        <w:separator/>
      </w:r>
    </w:p>
  </w:endnote>
  <w:endnote w:type="continuationSeparator" w:id="0">
    <w:p w:rsidR="0015734F" w:rsidRDefault="0015734F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4F" w:rsidRDefault="0015734F" w:rsidP="0049115E">
      <w:pPr>
        <w:spacing w:after="0" w:line="240" w:lineRule="auto"/>
      </w:pPr>
      <w:r>
        <w:separator/>
      </w:r>
    </w:p>
  </w:footnote>
  <w:footnote w:type="continuationSeparator" w:id="0">
    <w:p w:rsidR="0015734F" w:rsidRDefault="0015734F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7C1B73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10145F">
          <w:rPr>
            <w:rFonts w:ascii="Times New Roman" w:hAnsi="Times New Roman"/>
            <w:noProof/>
          </w:rPr>
          <w:t>28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7BC6"/>
    <w:rsid w:val="000C0606"/>
    <w:rsid w:val="000D71CA"/>
    <w:rsid w:val="0010145F"/>
    <w:rsid w:val="00115292"/>
    <w:rsid w:val="00143DE3"/>
    <w:rsid w:val="00152E5F"/>
    <w:rsid w:val="0015734F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302D3"/>
    <w:rsid w:val="00332DC5"/>
    <w:rsid w:val="00346163"/>
    <w:rsid w:val="00371569"/>
    <w:rsid w:val="003A65D5"/>
    <w:rsid w:val="003E07FF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956B8"/>
    <w:rsid w:val="007C1B73"/>
    <w:rsid w:val="007F2716"/>
    <w:rsid w:val="00827F73"/>
    <w:rsid w:val="00836DAF"/>
    <w:rsid w:val="008A5B5A"/>
    <w:rsid w:val="008B215F"/>
    <w:rsid w:val="008B44CC"/>
    <w:rsid w:val="008C2F0D"/>
    <w:rsid w:val="00904DEF"/>
    <w:rsid w:val="00967553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139DD"/>
    <w:rsid w:val="00BF204E"/>
    <w:rsid w:val="00CB2DDC"/>
    <w:rsid w:val="00CB7902"/>
    <w:rsid w:val="00CE331D"/>
    <w:rsid w:val="00D028A8"/>
    <w:rsid w:val="00D02D00"/>
    <w:rsid w:val="00D0624C"/>
    <w:rsid w:val="00D731C8"/>
    <w:rsid w:val="00DE3E06"/>
    <w:rsid w:val="00E95C5D"/>
    <w:rsid w:val="00F121F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1" type="connector" idref="#_x0000_s1161"/>
        <o:r id="V:Rule12" type="connector" idref="#_x0000_s1145"/>
        <o:r id="V:Rule13" type="connector" idref="#_x0000_s1159"/>
        <o:r id="V:Rule14" type="connector" idref="#_x0000_s1143"/>
        <o:r id="V:Rule15" type="connector" idref="#_x0000_s1146"/>
        <o:r id="V:Rule16" type="connector" idref="#_x0000_s1160"/>
        <o:r id="V:Rule17" type="connector" idref="#_x0000_s1144"/>
        <o:r id="V:Rule18" type="connector" idref="#_x0000_s1163"/>
        <o:r id="V:Rule19" type="connector" idref="#_x0000_s1164"/>
        <o:r id="V:Rule20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23</cp:revision>
  <cp:lastPrinted>2023-09-01T10:00:00Z</cp:lastPrinted>
  <dcterms:created xsi:type="dcterms:W3CDTF">2023-01-26T08:37:00Z</dcterms:created>
  <dcterms:modified xsi:type="dcterms:W3CDTF">2023-09-01T10:29:00Z</dcterms:modified>
</cp:coreProperties>
</file>