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E0753A">
        <w:rPr>
          <w:sz w:val="28"/>
          <w:szCs w:val="28"/>
        </w:rPr>
        <w:t>12</w:t>
      </w:r>
      <w:r w:rsidR="00F8711D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2020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>атели деятельности на 20</w:t>
            </w:r>
            <w:r w:rsidR="00546A6E" w:rsidRPr="0012417F">
              <w:rPr>
                <w:sz w:val="24"/>
                <w:szCs w:val="24"/>
              </w:rPr>
              <w:t>20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Pr="0012417F" w:rsidRDefault="00D53080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</w:t>
            </w:r>
            <w:r w:rsidR="00546A6E" w:rsidRPr="0012417F">
              <w:rPr>
                <w:sz w:val="24"/>
                <w:szCs w:val="24"/>
              </w:rPr>
              <w:t>1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</w:t>
            </w:r>
            <w:r w:rsidRPr="0012417F">
              <w:rPr>
                <w:sz w:val="24"/>
                <w:szCs w:val="24"/>
              </w:rPr>
              <w:lastRenderedPageBreak/>
              <w:t>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2F5C3E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5 518</w:t>
            </w:r>
            <w:r w:rsidR="006E52EA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тыс.руб.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CE083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F5C3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2F5C3E">
              <w:rPr>
                <w:sz w:val="24"/>
                <w:szCs w:val="24"/>
              </w:rPr>
              <w:t>1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3B2D6B">
        <w:trPr>
          <w:trHeight w:val="1198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2F5C3E">
              <w:rPr>
                <w:sz w:val="24"/>
                <w:szCs w:val="24"/>
              </w:rPr>
              <w:t>141,0</w:t>
            </w:r>
            <w:r w:rsidRPr="0012417F">
              <w:rPr>
                <w:sz w:val="24"/>
                <w:szCs w:val="24"/>
              </w:rPr>
              <w:t xml:space="preserve"> тыс. руб.,  местный бюджет- </w:t>
            </w:r>
            <w:r w:rsidR="002F5C3E">
              <w:rPr>
                <w:sz w:val="24"/>
                <w:szCs w:val="24"/>
              </w:rPr>
              <w:t>43,7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:rsidR="000B5A05" w:rsidRPr="0012417F" w:rsidRDefault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</w:t>
            </w:r>
            <w:r w:rsidR="000B5A05" w:rsidRPr="0012417F">
              <w:rPr>
                <w:sz w:val="24"/>
                <w:szCs w:val="24"/>
              </w:rPr>
              <w:t>01</w:t>
            </w:r>
            <w:r w:rsidR="00D20043" w:rsidRPr="0012417F">
              <w:rPr>
                <w:sz w:val="24"/>
                <w:szCs w:val="24"/>
              </w:rPr>
              <w:t>7</w:t>
            </w:r>
            <w:r w:rsidR="000B5A05" w:rsidRPr="0012417F">
              <w:rPr>
                <w:sz w:val="24"/>
                <w:szCs w:val="24"/>
              </w:rPr>
              <w:t xml:space="preserve"> год</w:t>
            </w:r>
            <w:r w:rsidRPr="0012417F">
              <w:rPr>
                <w:sz w:val="24"/>
                <w:szCs w:val="24"/>
              </w:rPr>
              <w:t xml:space="preserve">  </w:t>
            </w:r>
            <w:r w:rsidR="000B5A05" w:rsidRPr="0012417F">
              <w:rPr>
                <w:sz w:val="24"/>
                <w:szCs w:val="24"/>
              </w:rPr>
              <w:t>-</w:t>
            </w:r>
            <w:r w:rsidR="00D20043" w:rsidRPr="0012417F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5 017,8</w:t>
            </w:r>
            <w:r w:rsidR="00030F27" w:rsidRPr="0012417F">
              <w:rPr>
                <w:sz w:val="24"/>
                <w:szCs w:val="24"/>
              </w:rPr>
              <w:t>тыс.руб.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D20043" w:rsidRPr="0012417F">
              <w:rPr>
                <w:sz w:val="24"/>
                <w:szCs w:val="24"/>
              </w:rPr>
              <w:t>8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6A275A" w:rsidRPr="0012417F">
              <w:rPr>
                <w:sz w:val="24"/>
                <w:szCs w:val="24"/>
              </w:rPr>
              <w:t>7 467,1</w:t>
            </w:r>
            <w:r w:rsidR="00030F27" w:rsidRPr="0012417F">
              <w:rPr>
                <w:sz w:val="24"/>
                <w:szCs w:val="24"/>
              </w:rPr>
              <w:t xml:space="preserve"> тыс.руб.</w:t>
            </w:r>
          </w:p>
          <w:p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2019 год – 6 717,0 тыс.руб.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</w:t>
            </w:r>
            <w:r w:rsidRPr="0012417F">
              <w:rPr>
                <w:sz w:val="24"/>
                <w:szCs w:val="24"/>
              </w:rPr>
              <w:lastRenderedPageBreak/>
              <w:t>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146" w:rsidRDefault="00476146">
      <w:r>
        <w:separator/>
      </w:r>
    </w:p>
  </w:endnote>
  <w:endnote w:type="continuationSeparator" w:id="0">
    <w:p w:rsidR="00476146" w:rsidRDefault="00476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146" w:rsidRDefault="00476146">
      <w:r>
        <w:separator/>
      </w:r>
    </w:p>
  </w:footnote>
  <w:footnote w:type="continuationSeparator" w:id="0">
    <w:p w:rsidR="00476146" w:rsidRDefault="00476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2F5C3E"/>
    <w:rsid w:val="00331CBA"/>
    <w:rsid w:val="003332A1"/>
    <w:rsid w:val="00346BCD"/>
    <w:rsid w:val="00384057"/>
    <w:rsid w:val="003A07E3"/>
    <w:rsid w:val="003A14A8"/>
    <w:rsid w:val="003B2D6B"/>
    <w:rsid w:val="00432597"/>
    <w:rsid w:val="0046394E"/>
    <w:rsid w:val="00476146"/>
    <w:rsid w:val="004C6E81"/>
    <w:rsid w:val="004F0A5E"/>
    <w:rsid w:val="004F5745"/>
    <w:rsid w:val="00545665"/>
    <w:rsid w:val="00546A6E"/>
    <w:rsid w:val="00576D87"/>
    <w:rsid w:val="005B488E"/>
    <w:rsid w:val="00622469"/>
    <w:rsid w:val="006441B0"/>
    <w:rsid w:val="00693C2D"/>
    <w:rsid w:val="006A275A"/>
    <w:rsid w:val="006E52EA"/>
    <w:rsid w:val="007362B6"/>
    <w:rsid w:val="00805026"/>
    <w:rsid w:val="008927E3"/>
    <w:rsid w:val="008A3C5C"/>
    <w:rsid w:val="008C43B3"/>
    <w:rsid w:val="009044B4"/>
    <w:rsid w:val="00940F2A"/>
    <w:rsid w:val="00976CB7"/>
    <w:rsid w:val="00986543"/>
    <w:rsid w:val="00A42F9F"/>
    <w:rsid w:val="00A54D2C"/>
    <w:rsid w:val="00AA4A54"/>
    <w:rsid w:val="00AD1EB3"/>
    <w:rsid w:val="00B715A1"/>
    <w:rsid w:val="00C554DD"/>
    <w:rsid w:val="00CA2331"/>
    <w:rsid w:val="00CE0831"/>
    <w:rsid w:val="00D20043"/>
    <w:rsid w:val="00D50A34"/>
    <w:rsid w:val="00D53080"/>
    <w:rsid w:val="00D54800"/>
    <w:rsid w:val="00D5721F"/>
    <w:rsid w:val="00D744A2"/>
    <w:rsid w:val="00D929DF"/>
    <w:rsid w:val="00DA1381"/>
    <w:rsid w:val="00E0753A"/>
    <w:rsid w:val="00E20D0B"/>
    <w:rsid w:val="00ED42BF"/>
    <w:rsid w:val="00F267D0"/>
    <w:rsid w:val="00F8711D"/>
    <w:rsid w:val="00FC056A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2</cp:revision>
  <cp:lastPrinted>2020-04-28T09:41:00Z</cp:lastPrinted>
  <dcterms:created xsi:type="dcterms:W3CDTF">2021-05-13T10:02:00Z</dcterms:created>
  <dcterms:modified xsi:type="dcterms:W3CDTF">2021-05-13T10:02:00Z</dcterms:modified>
</cp:coreProperties>
</file>